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4"/>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22"/>
          <w:szCs w:val="22"/>
          <w:b w:val="1"/>
          <w:bCs w:val="1"/>
          <w:color w:val="auto"/>
        </w:rPr>
        <w:t>FOR REGISTRATION OF CERTAIN CLASSES OF SECURITIES</w:t>
      </w:r>
    </w:p>
    <w:p>
      <w:pPr>
        <w:spacing w:after="0" w:line="13"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22"/>
          <w:szCs w:val="22"/>
          <w:b w:val="1"/>
          <w:bCs w:val="1"/>
          <w:color w:val="auto"/>
        </w:rPr>
        <w:t>PURSUANT TO SECTION 12(b) OR 12(g) OF</w:t>
      </w:r>
    </w:p>
    <w:p>
      <w:pPr>
        <w:ind w:left="3644"/>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43"/>
          <w:szCs w:val="43"/>
          <w:b w:val="1"/>
          <w:bCs w:val="1"/>
          <w:color w:val="auto"/>
        </w:rPr>
        <w:t>IQM Quantum Computers Oyj</w:t>
      </w:r>
    </w:p>
    <w:p>
      <w:pPr>
        <w:spacing w:after="0" w:line="58"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24" w:type="dxa"/>
        <w:tblCellMar>
          <w:top w:w="0" w:type="dxa"/>
          <w:left w:w="0" w:type="dxa"/>
          <w:bottom w:w="0" w:type="dxa"/>
          <w:right w:w="0" w:type="dxa"/>
        </w:tblCellMar>
      </w:tblPr>
      <w:tr>
        <w:trPr>
          <w:trHeight w:val="214"/>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Republic of Finland</w:t>
            </w:r>
          </w:p>
        </w:tc>
        <w:tc>
          <w:tcPr>
            <w:tcW w:w="1200" w:type="dxa"/>
            <w:vAlign w:val="bottom"/>
          </w:tcPr>
          <w:p>
            <w:pPr>
              <w:spacing w:after="0"/>
              <w:rPr>
                <w:sz w:val="18"/>
                <w:szCs w:val="18"/>
                <w:color w:val="auto"/>
              </w:rPr>
            </w:pPr>
          </w:p>
        </w:tc>
        <w:tc>
          <w:tcPr>
            <w:tcW w:w="20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0"/>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2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61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Keilaranta 19</w:t>
            </w: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7"/>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Espoo, Finland</w:t>
            </w:r>
          </w:p>
        </w:tc>
        <w:tc>
          <w:tcPr>
            <w:tcW w:w="1200" w:type="dxa"/>
            <w:vAlign w:val="bottom"/>
          </w:tcPr>
          <w:p>
            <w:pPr>
              <w:spacing w:after="0"/>
              <w:rPr>
                <w:sz w:val="19"/>
                <w:szCs w:val="19"/>
                <w:color w:val="auto"/>
              </w:rPr>
            </w:pPr>
          </w:p>
        </w:tc>
        <w:tc>
          <w:tcPr>
            <w:tcW w:w="20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FI-02150</w:t>
            </w:r>
          </w:p>
        </w:tc>
      </w:tr>
      <w:tr>
        <w:trPr>
          <w:trHeight w:val="190"/>
        </w:trPr>
        <w:tc>
          <w:tcPr>
            <w:tcW w:w="61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2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3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5"/>
                <w:szCs w:val="15"/>
                <w:color w:val="auto"/>
              </w:rPr>
            </w:pPr>
          </w:p>
        </w:tc>
      </w:tr>
      <w:tr>
        <w:trPr>
          <w:trHeight w:val="187"/>
        </w:trPr>
        <w:tc>
          <w:tcPr>
            <w:tcW w:w="21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w w:val="93"/>
              </w:rPr>
              <w:t>American Depositary Shares,</w:t>
            </w:r>
          </w:p>
        </w:tc>
        <w:tc>
          <w:tcPr>
            <w:tcW w:w="398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each representing one ordinary share,</w:t>
            </w:r>
          </w:p>
        </w:tc>
        <w:tc>
          <w:tcPr>
            <w:tcW w:w="1200" w:type="dxa"/>
            <w:vAlign w:val="bottom"/>
          </w:tcPr>
          <w:p>
            <w:pPr>
              <w:ind w:left="840"/>
              <w:spacing w:after="0" w:line="188" w:lineRule="exact"/>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Nasdaq Stock Market</w:t>
            </w:r>
          </w:p>
        </w:tc>
        <w:tc>
          <w:tcPr>
            <w:tcW w:w="3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1"/>
              </w:rPr>
              <w:t>LLC</w:t>
            </w:r>
          </w:p>
        </w:tc>
      </w:tr>
      <w:tr>
        <w:trPr>
          <w:trHeight w:val="216"/>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without par value</w:t>
            </w: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ADS at an exercise</w:t>
            </w:r>
          </w:p>
        </w:tc>
        <w:tc>
          <w:tcPr>
            <w:tcW w:w="3280" w:type="dxa"/>
            <w:vAlign w:val="bottom"/>
            <w:gridSpan w:val="3"/>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price of $11.50 per share</w:t>
            </w: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61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Ordinary Shares, without par value*</w:t>
            </w:r>
          </w:p>
        </w:tc>
        <w:tc>
          <w:tcPr>
            <w:tcW w:w="2920" w:type="dxa"/>
            <w:vAlign w:val="bottom"/>
            <w:gridSpan w:val="2"/>
          </w:tcPr>
          <w:p>
            <w:pPr>
              <w:jc w:val="center"/>
              <w:ind w:left="11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24" w:hanging="224"/>
        <w:spacing w:after="0" w:line="261"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 Each American Depositary Share represents one ordinary share and has been registered under the Securities Act of 1933, as amended, pursuant to a separate Registration Statement on Form F-6 (File No. 333-296532). Accordingly, the American Depositary Shares are exempt from the operation of Section 12(a) of the Securities Exchange Act of 1934, as amended, pursuant to Rule 12a-8.</w:t>
      </w:r>
    </w:p>
    <w:p>
      <w:pPr>
        <w:spacing w:after="0" w:line="180" w:lineRule="exact"/>
        <w:rPr>
          <w:sz w:val="24"/>
          <w:szCs w:val="24"/>
          <w:color w:val="auto"/>
        </w:rPr>
      </w:pPr>
    </w:p>
    <w:p>
      <w:pPr>
        <w:ind w:left="4" w:right="1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1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18"/>
          <w:szCs w:val="18"/>
          <w:b w:val="1"/>
          <w:bCs w:val="1"/>
          <w:color w:val="auto"/>
        </w:rPr>
        <w:t>333-295867</w:t>
      </w:r>
    </w:p>
    <w:p>
      <w:pPr>
        <w:spacing w:after="0" w:line="203" w:lineRule="exact"/>
        <w:rPr>
          <w:sz w:val="24"/>
          <w:szCs w:val="24"/>
          <w:color w:val="auto"/>
        </w:rPr>
      </w:pPr>
    </w:p>
    <w:p>
      <w:pPr>
        <w:jc w:val="center"/>
        <w:ind w:right="-583"/>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4"/>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444"/>
          </w:cols>
          <w:pgMar w:left="436" w:top="376" w:right="1019" w:bottom="1440" w:gutter="0" w:footer="0" w:header="0"/>
        </w:sectPr>
      </w:pPr>
    </w:p>
    <w:bookmarkStart w:id="1" w:name="page2"/>
    <w:bookmarkEnd w:id="1"/>
    <w:p>
      <w:pPr>
        <w:ind w:left="2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IQM Quantum Computers Oyj, a limited liability company incorporated under the laws of Finland (the “Registrant”), hereby incorporates by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reference (a) the description of its ordinary shares, no par value, contained under the heading “Description of Share Capital and Articles of Association,”</w:t>
      </w:r>
    </w:p>
    <w:p>
      <w:pPr>
        <w:spacing w:after="0" w:line="21" w:lineRule="exact"/>
        <w:rPr>
          <w:sz w:val="20"/>
          <w:szCs w:val="20"/>
          <w:color w:val="auto"/>
        </w:rPr>
      </w:pPr>
    </w:p>
    <w:p>
      <w:pPr>
        <w:ind w:left="4" w:hanging="4"/>
        <w:spacing w:after="0" w:line="251"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its American Depositary Shares, each representing one ordinary share, contained under the heading “Description of IQM American Depositary Shares,” (c) the description of its warrants, with each whole warrant exercisable for one ADS at an exercise price of $11.50, contained under the heading “Description of Share Capital and Articles of Association” and (d) the information set forth under the heading “Material Tax Considerations,” in each case, in the Company’s Registration Statement on Form F-4 (File No. 333-295867) (the “Registration Statement”), initially filed with the U.S. Securities and Exchange Commission on May 14, 2026, as subsequently amended by any amendments to such Registration Statement and by any form of prospectus filed pursuant to Rule 424(b) under the Securities Act of 1933, as amended (the “Securities Act”), in connection with such Registration Statement. Such Registration Statement, as amended, and any form of prospectus filed pursuant to Rule 424(b) under the Securities Act that includes such description, are incorporated by reference herein.</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004"/>
          </w:cols>
          <w:pgMar w:left="436"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IQM Quantum Computers Oyj</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Goetz</w:t>
            </w:r>
          </w:p>
        </w:tc>
      </w:tr>
      <w:tr>
        <w:trPr>
          <w:trHeight w:val="205"/>
        </w:trPr>
        <w:tc>
          <w:tcPr>
            <w:tcW w:w="342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Jan Goetz</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2026-07-01T07:49:49Z</dcterms:created>
  <dcterms:modified xsi:type="dcterms:W3CDTF">2026-07-01T07:49:49Z</dcterms:modified>
</cp:coreProperties>
</file>