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iqmx_6-k_q2_aug_2026_new.htm"/>
      <w:bookmarkStart w:id="1" w:name="ksiqmx_6k_q2_aug_2026_new"/>
      <w:bookmarkEnd w:id="0"/>
      <w:bookmarkEnd w:id="1"/>
      <w:r>
        <w:drawing>
          <wp:anchor behindDoc="0" distT="0" distB="0" distL="0" distR="0" simplePos="0" locked="0" layoutInCell="1" allowOverlap="1" relativeHeight="8">
            <wp:simplePos x="0" y="0"/>
            <wp:positionH relativeFrom="page">
              <wp:posOffset>6667500</wp:posOffset>
            </wp:positionH>
            <wp:positionV relativeFrom="page">
              <wp:posOffset>123825</wp:posOffset>
            </wp:positionV>
            <wp:extent cx="880745" cy="310515"/>
            <wp:effectExtent l="0" t="0" r="0" b="0"/>
            <wp:wrapNone/>
            <wp:docPr id="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 descr=""/>
                    <pic:cNvPicPr>
                      <a:picLocks noChangeAspect="1" noChangeArrowheads="1"/>
                    </pic:cNvPicPr>
                  </pic:nvPicPr>
                  <pic:blipFill>
                    <a:blip r:embed="rId2"/>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7">
            <wp:simplePos x="0" y="0"/>
            <wp:positionH relativeFrom="page">
              <wp:posOffset>6667500</wp:posOffset>
            </wp:positionH>
            <wp:positionV relativeFrom="page">
              <wp:posOffset>123825</wp:posOffset>
            </wp:positionV>
            <wp:extent cx="880745" cy="310515"/>
            <wp:effectExtent l="0" t="0" r="0" b="0"/>
            <wp:wrapNone/>
            <wp:docPr id="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 descr=""/>
                    <pic:cNvPicPr>
                      <a:picLocks noChangeAspect="1" noChangeArrowheads="1"/>
                    </pic:cNvPicPr>
                  </pic:nvPicPr>
                  <pic:blipFill>
                    <a:blip r:embed="rId3"/>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6">
            <wp:simplePos x="0" y="0"/>
            <wp:positionH relativeFrom="page">
              <wp:posOffset>6667500</wp:posOffset>
            </wp:positionH>
            <wp:positionV relativeFrom="page">
              <wp:posOffset>123825</wp:posOffset>
            </wp:positionV>
            <wp:extent cx="880745" cy="310515"/>
            <wp:effectExtent l="0" t="0" r="0" b="0"/>
            <wp:wrapNone/>
            <wp:docPr id="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 descr=""/>
                    <pic:cNvPicPr>
                      <a:picLocks noChangeAspect="1" noChangeArrowheads="1"/>
                    </pic:cNvPicPr>
                  </pic:nvPicPr>
                  <pic:blipFill>
                    <a:blip r:embed="rId4"/>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5">
            <wp:simplePos x="0" y="0"/>
            <wp:positionH relativeFrom="page">
              <wp:posOffset>6667500</wp:posOffset>
            </wp:positionH>
            <wp:positionV relativeFrom="page">
              <wp:posOffset>123825</wp:posOffset>
            </wp:positionV>
            <wp:extent cx="880745" cy="310515"/>
            <wp:effectExtent l="0" t="0" r="0" b="0"/>
            <wp:wrapNone/>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4">
            <wp:simplePos x="0" y="0"/>
            <wp:positionH relativeFrom="page">
              <wp:posOffset>6667500</wp:posOffset>
            </wp:positionH>
            <wp:positionV relativeFrom="page">
              <wp:posOffset>123825</wp:posOffset>
            </wp:positionV>
            <wp:extent cx="880745" cy="310515"/>
            <wp:effectExtent l="0" t="0" r="0" b="0"/>
            <wp:wrapNone/>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6"/>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3">
            <wp:simplePos x="0" y="0"/>
            <wp:positionH relativeFrom="page">
              <wp:posOffset>6667500</wp:posOffset>
            </wp:positionH>
            <wp:positionV relativeFrom="page">
              <wp:posOffset>123825</wp:posOffset>
            </wp:positionV>
            <wp:extent cx="880745" cy="310515"/>
            <wp:effectExtent l="0" t="0" r="0" b="0"/>
            <wp:wrapNone/>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880745" cy="310515"/>
                    </a:xfrm>
                    <a:prstGeom prst="rect">
                      <a:avLst/>
                    </a:prstGeom>
                  </pic:spPr>
                </pic:pic>
              </a:graphicData>
            </a:graphic>
          </wp:anchor>
        </w:drawing>
        <w:drawing>
          <wp:anchor behindDoc="0" distT="0" distB="0" distL="0" distR="0" simplePos="0" locked="0" layoutInCell="1" allowOverlap="1" relativeHeight="2">
            <wp:simplePos x="0" y="0"/>
            <wp:positionH relativeFrom="page">
              <wp:posOffset>6667500</wp:posOffset>
            </wp:positionH>
            <wp:positionV relativeFrom="page">
              <wp:posOffset>142875</wp:posOffset>
            </wp:positionV>
            <wp:extent cx="880745" cy="310515"/>
            <wp:effectExtent l="0" t="0" r="0" b="0"/>
            <wp:wrapNone/>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8"/>
                    <a:stretch>
                      <a:fillRect/>
                    </a:stretch>
                  </pic:blipFill>
                  <pic:spPr bwMode="auto">
                    <a:xfrm>
                      <a:off x="0" y="0"/>
                      <a:ext cx="880745" cy="310515"/>
                    </a:xfrm>
                    <a:prstGeom prst="rect">
                      <a:avLst/>
                    </a:prstGeom>
                  </pic:spPr>
                </pic:pic>
              </a:graphicData>
            </a:graphic>
          </wp:anchor>
        </w:drawing>
      </w: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120"/>
        <w:jc w:val="center"/>
        <w:rPr>
          <w:rFonts w:ascii="Arial" w:hAnsi="Arial"/>
          <w:b/>
          <w:color w:val="000000"/>
          <w:sz w:val="36"/>
        </w:rPr>
      </w:pPr>
      <w:r>
        <w:rPr>
          <w:rFonts w:ascii="Arial" w:hAnsi="Arial"/>
          <w:b/>
          <w:color w:val="000000"/>
          <w:sz w:val="36"/>
        </w:rPr>
        <w:t>UNITED STATES</w:t>
      </w:r>
    </w:p>
    <w:p>
      <w:pPr>
        <w:pStyle w:val="TextBody"/>
        <w:bidi w:val="0"/>
        <w:spacing w:before="0" w:after="12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20" w:after="12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pPr>
      <w:r>
        <w:rPr/>
        <w:t> </w:t>
      </w:r>
    </w:p>
    <w:p>
      <w:pPr>
        <w:pStyle w:val="TextBody"/>
        <w:bidi w:val="0"/>
        <w:jc w:val="center"/>
        <w:rPr>
          <w:rFonts w:ascii="Arial" w:hAnsi="Arial"/>
          <w:b/>
          <w:color w:val="000000"/>
          <w:sz w:val="36"/>
        </w:rPr>
      </w:pPr>
      <w:r>
        <w:rPr>
          <w:rFonts w:ascii="Arial" w:hAnsi="Arial"/>
          <w:b/>
          <w:color w:val="000000"/>
          <w:sz w:val="36"/>
        </w:rPr>
        <w:t>FORM 6-K</w:t>
      </w:r>
    </w:p>
    <w:p>
      <w:pPr>
        <w:pStyle w:val="TextBody"/>
        <w:bidi w:val="0"/>
        <w:spacing w:before="120" w:after="12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20"/>
        <w:jc w:val="center"/>
        <w:rPr>
          <w:rFonts w:ascii="Arial" w:hAnsi="Arial"/>
          <w:b/>
          <w:color w:val="000000"/>
          <w:sz w:val="24"/>
        </w:rPr>
      </w:pPr>
      <w:r>
        <w:rPr>
          <w:rFonts w:ascii="Arial" w:hAnsi="Arial"/>
          <w:b/>
          <w:color w:val="000000"/>
          <w:sz w:val="24"/>
        </w:rPr>
        <w:t>REPORT OF FOREIGN PRIVATE ISSUER</w:t>
      </w:r>
    </w:p>
    <w:p>
      <w:pPr>
        <w:pStyle w:val="TextBody"/>
        <w:bidi w:val="0"/>
        <w:spacing w:before="0" w:after="120"/>
        <w:jc w:val="center"/>
        <w:rPr>
          <w:rFonts w:ascii="Arial" w:hAnsi="Arial"/>
          <w:b/>
          <w:color w:val="000000"/>
          <w:sz w:val="24"/>
        </w:rPr>
      </w:pPr>
      <w:r>
        <w:rPr>
          <w:rFonts w:ascii="Arial" w:hAnsi="Arial"/>
          <w:b/>
          <w:color w:val="000000"/>
          <w:sz w:val="24"/>
        </w:rPr>
        <w:t>PURSUANT TO RULE 13a-16 OR 15d-16</w:t>
      </w:r>
    </w:p>
    <w:p>
      <w:pPr>
        <w:pStyle w:val="TextBody"/>
        <w:bidi w:val="0"/>
        <w:spacing w:before="0" w:after="120"/>
        <w:jc w:val="center"/>
        <w:rPr>
          <w:rFonts w:ascii="Arial" w:hAnsi="Arial"/>
          <w:b/>
          <w:color w:val="000000"/>
          <w:sz w:val="24"/>
        </w:rPr>
      </w:pPr>
      <w:r>
        <w:rPr>
          <w:rFonts w:ascii="Arial" w:hAnsi="Arial"/>
          <w:b/>
          <w:color w:val="000000"/>
          <w:sz w:val="24"/>
        </w:rPr>
        <w:t>UNDER THE SECURITIES EXCHANGE ACT OF 1934</w:t>
      </w:r>
    </w:p>
    <w:p>
      <w:pPr>
        <w:pStyle w:val="TextBody"/>
        <w:bidi w:val="0"/>
        <w:spacing w:before="120" w:after="120"/>
        <w:jc w:val="center"/>
        <w:rPr>
          <w:rFonts w:ascii="Arial" w:hAnsi="Arial"/>
          <w:b/>
          <w:color w:val="000000"/>
          <w:sz w:val="20"/>
        </w:rPr>
      </w:pPr>
      <w:r>
        <w:rPr>
          <w:rFonts w:ascii="Arial" w:hAnsi="Arial"/>
          <w:b/>
          <w:color w:val="000000"/>
          <w:sz w:val="20"/>
        </w:rPr>
        <w:t>For the Month of August 2026</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001-43383</w:t>
      </w:r>
    </w:p>
    <w:p>
      <w:pPr>
        <w:pStyle w:val="TextBody"/>
        <w:bidi w:val="0"/>
        <w:spacing w:before="120" w:after="12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pPr>
      <w:r>
        <w:rPr/>
        <w:t> </w:t>
      </w:r>
    </w:p>
    <w:p>
      <w:pPr>
        <w:pStyle w:val="TextBody"/>
        <w:bidi w:val="0"/>
        <w:spacing w:before="0" w:after="120"/>
        <w:jc w:val="center"/>
        <w:rPr>
          <w:rFonts w:ascii="Arial" w:hAnsi="Arial"/>
          <w:b/>
          <w:color w:val="000000"/>
          <w:sz w:val="48"/>
        </w:rPr>
      </w:pPr>
      <w:r>
        <w:rPr>
          <w:rFonts w:ascii="Arial" w:hAnsi="Arial"/>
          <w:b/>
          <w:color w:val="000000"/>
          <w:sz w:val="48"/>
        </w:rPr>
        <w:t>IQM Quantum Computers Oyj</w:t>
      </w:r>
    </w:p>
    <w:p>
      <w:pPr>
        <w:pStyle w:val="TextBody"/>
        <w:bidi w:val="0"/>
        <w:jc w:val="center"/>
        <w:rPr>
          <w:rFonts w:ascii="Arial" w:hAnsi="Arial"/>
          <w:b/>
          <w:color w:val="000000"/>
          <w:sz w:val="20"/>
        </w:rPr>
      </w:pPr>
      <w:r>
        <w:rPr>
          <w:rFonts w:ascii="Arial" w:hAnsi="Arial"/>
          <w:b/>
          <w:color w:val="000000"/>
          <w:sz w:val="20"/>
        </w:rPr>
        <w:t>(Translation of registrant’s name into English)</w:t>
      </w:r>
    </w:p>
    <w:p>
      <w:pPr>
        <w:pStyle w:val="TextBody"/>
        <w:bidi w:val="0"/>
        <w:spacing w:before="120" w:after="12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pPr>
      <w:r>
        <w:rPr/>
        <w:t> </w:t>
      </w:r>
    </w:p>
    <w:p>
      <w:pPr>
        <w:pStyle w:val="TextBody"/>
        <w:bidi w:val="0"/>
        <w:spacing w:before="0" w:after="120"/>
        <w:jc w:val="center"/>
        <w:rPr>
          <w:rFonts w:ascii="Arial" w:hAnsi="Arial"/>
          <w:b/>
          <w:color w:val="000000"/>
          <w:sz w:val="20"/>
        </w:rPr>
      </w:pPr>
      <w:r>
        <w:rPr>
          <w:rFonts w:ascii="Arial" w:hAnsi="Arial"/>
          <w:b/>
          <w:color w:val="000000"/>
          <w:sz w:val="20"/>
        </w:rPr>
        <w:t>Keilaranta 19</w:t>
      </w:r>
    </w:p>
    <w:p>
      <w:pPr>
        <w:pStyle w:val="TextBody"/>
        <w:bidi w:val="0"/>
        <w:spacing w:before="0" w:after="120"/>
        <w:jc w:val="center"/>
        <w:rPr>
          <w:rFonts w:ascii="Arial" w:hAnsi="Arial"/>
          <w:b/>
          <w:color w:val="000000"/>
          <w:sz w:val="20"/>
        </w:rPr>
      </w:pPr>
      <w:r>
        <w:rPr>
          <w:rFonts w:ascii="Arial" w:hAnsi="Arial"/>
          <w:b/>
          <w:color w:val="000000"/>
          <w:sz w:val="20"/>
        </w:rPr>
        <w:t>FI-02150 Espoo</w:t>
      </w:r>
    </w:p>
    <w:p>
      <w:pPr>
        <w:pStyle w:val="TextBody"/>
        <w:bidi w:val="0"/>
        <w:spacing w:before="0" w:after="120"/>
        <w:jc w:val="center"/>
        <w:rPr>
          <w:rFonts w:ascii="Arial" w:hAnsi="Arial"/>
          <w:b/>
          <w:color w:val="000000"/>
          <w:sz w:val="20"/>
        </w:rPr>
      </w:pPr>
      <w:r>
        <w:rPr>
          <w:rFonts w:ascii="Arial" w:hAnsi="Arial"/>
          <w:b/>
          <w:color w:val="000000"/>
          <w:sz w:val="20"/>
        </w:rPr>
        <w:t>Finland</w:t>
      </w:r>
    </w:p>
    <w:p>
      <w:pPr>
        <w:pStyle w:val="TextBody"/>
        <w:bidi w:val="0"/>
        <w:jc w:val="center"/>
        <w:rPr>
          <w:rFonts w:ascii="Arial" w:hAnsi="Arial"/>
          <w:b/>
          <w:color w:val="000000"/>
          <w:sz w:val="16"/>
        </w:rPr>
      </w:pPr>
      <w:r>
        <w:rPr>
          <w:rFonts w:ascii="Arial" w:hAnsi="Arial"/>
          <w:b/>
          <w:color w:val="000000"/>
          <w:sz w:val="16"/>
        </w:rPr>
        <w:t>(Address of Principal Executive Office)</w:t>
      </w:r>
    </w:p>
    <w:p>
      <w:pPr>
        <w:pStyle w:val="TextBody"/>
        <w:bidi w:val="0"/>
        <w:spacing w:before="120" w:after="12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pPr>
      <w:r>
        <w:rPr/>
        <w:t> </w:t>
      </w:r>
    </w:p>
    <w:p>
      <w:pPr>
        <w:pStyle w:val="TextBody"/>
        <w:bidi w:val="0"/>
        <w:jc w:val="both"/>
        <w:rPr>
          <w:rFonts w:ascii="Arial" w:hAnsi="Arial"/>
          <w:color w:val="000000"/>
          <w:sz w:val="20"/>
        </w:rPr>
      </w:pPr>
      <w:r>
        <w:rPr>
          <w:rFonts w:ascii="Arial" w:hAnsi="Arial"/>
          <w:color w:val="000000"/>
          <w:sz w:val="20"/>
        </w:rPr>
        <w:t>Indicate by check mark whether the registrant files or will file annual reports under cover of Form 20-F or Form 40-F:</w:t>
      </w:r>
    </w:p>
    <w:p>
      <w:pPr>
        <w:pStyle w:val="TextBody"/>
        <w:bidi w:val="0"/>
        <w:spacing w:before="240" w:after="283"/>
        <w:jc w:val="center"/>
        <w:rPr/>
      </w:pPr>
      <w:r>
        <w:rPr>
          <w:color w:val="000000"/>
        </w:rPr>
        <w:t>☒</w:t>
      </w:r>
      <w:r>
        <w:rPr>
          <w:rFonts w:ascii="Arial" w:hAnsi="Arial"/>
          <w:color w:val="000000"/>
          <w:sz w:val="20"/>
        </w:rPr>
        <w:t>Form 20-F   ☐Form 40-F</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On August 4, 2026, IQM Quantum Computers Oyj (the “Company”) issued a press release to provide a business and financial update for the first half and second quarter of 2026. The full text of the press release is attached as Exhibit 99.1 to this Report on Form 6-K.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Also on August 4, 2026, the Company issued a report announcing its financial results for the first half and second quarter of 2026. The Company’s half-year financial report, including its condensed consolidated financial statements as of June 30, 2026, is attached as Exhibit 99.2 to this Report on Form 6-K. In addition, the Company announced its outlook for full-year 2026 as part of its financial report issued in Finland. A copy of such guidance is attached as Exhibit 99.3 to this Report on Form 6-K.</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This Report on Form 6-K, including the exhibits attached hereto, includes certain statements that may constitute “forward-looking statements” for purposes of the U.S. federal securities laws.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may include, for example, statements regarding IQM’s strategies, future or anticipated market or competitive position, business plans and future performance, including IQM’s cash runway and outlook for full-year 2026. These statements are based on IQM’s management’s current expectations or beliefs and are subject to risk, uncertainty, and changes in circumstances. Actual results may vary materially from those expressed or implied by the statements herein due to changes in economic, business, competitive, and/or regulatory factors, and other risks and uncertainties affecting the operation of IQM’s business. These risks, uncertainties, and contingencies include changes in business conditions, fluctuations in customer demand, changes in accounting interpretations, management of rapid growth, intensity of competition from other providers of products and services, changes in general economic conditions, geopolitical events, and regulatory changes, and other factors set forth in IQM’s filings with the United States Securities and Exchange Commission and Finish regulatory bodies. The information set forth herein should be read in light of such risks. IQM is under no obligation to, and expressly disclaims any obligation to, update or alter its forward-looking statements, whether as a result of new information, future events, changes in assumptions, or otherwise.</w:t>
      </w:r>
    </w:p>
    <w:tbl>
      <w:tblPr>
        <w:tblW w:w="6373" w:type="dxa"/>
        <w:jc w:val="left"/>
        <w:tblInd w:w="0" w:type="dxa"/>
        <w:tblLayout w:type="fixed"/>
        <w:tblCellMar>
          <w:top w:w="28" w:type="dxa"/>
          <w:left w:w="28" w:type="dxa"/>
          <w:bottom w:w="28" w:type="dxa"/>
          <w:right w:w="28" w:type="dxa"/>
        </w:tblCellMar>
      </w:tblPr>
      <w:tblGrid>
        <w:gridCol w:w="781"/>
        <w:gridCol w:w="146"/>
        <w:gridCol w:w="5446"/>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4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iqmx-ex99_1.htm">
              <w:r>
                <w:rPr>
                  <w:rStyle w:val="InternetLink"/>
                  <w:rFonts w:ascii="Times New Roman" w:hAnsi="Times New Roman"/>
                  <w:color w:val="0000FF"/>
                  <w:sz w:val="20"/>
                  <w:u w:val="single"/>
                </w:rPr>
                <w:t>Press Release, dated August 4, 2026.</w:t>
              </w:r>
            </w:hyperlink>
            <w:r>
              <w:rPr>
                <w:rFonts w:ascii="Arial" w:hAnsi="Arial"/>
                <w:color w:val="000000"/>
                <w:sz w:val="20"/>
              </w:rPr>
              <w:t xml:space="preserve">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iqmx-ex99_2.htm">
              <w:r>
                <w:rPr>
                  <w:rStyle w:val="InternetLink"/>
                  <w:rFonts w:ascii="Times New Roman" w:hAnsi="Times New Roman"/>
                  <w:color w:val="0000FF"/>
                  <w:sz w:val="20"/>
                  <w:u w:val="single"/>
                </w:rPr>
                <w:t>First Half and Second Quarter 2026 Financial Report.</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iqmx-ex99_3.htm">
              <w:r>
                <w:rPr>
                  <w:rStyle w:val="InternetLink"/>
                  <w:rFonts w:ascii="Times New Roman" w:hAnsi="Times New Roman"/>
                  <w:color w:val="0000FF"/>
                  <w:sz w:val="20"/>
                  <w:u w:val="single"/>
                </w:rPr>
                <w:t>Fiscal Year 2026 Guidance Included in Finnish Half-Year Report.</w:t>
              </w:r>
            </w:hyperlink>
          </w:p>
        </w:tc>
      </w:tr>
    </w:tbl>
    <w:p>
      <w:pPr>
        <w:pStyle w:val="TextBody"/>
        <w:bidi w:val="0"/>
        <w:spacing w:before="120" w:after="12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Arial" w:hAnsi="Arial"/>
          <w:b/>
          <w:color w:val="000000"/>
          <w:sz w:val="20"/>
        </w:rPr>
      </w:pPr>
      <w:r>
        <w:rPr>
          <w:rFonts w:ascii="Arial" w:hAnsi="Arial"/>
          <w:b/>
          <w:color w:val="000000"/>
          <w:sz w:val="20"/>
        </w:rPr>
        <w:t>SIGNATURES</w:t>
      </w:r>
    </w:p>
    <w:p>
      <w:pPr>
        <w:pStyle w:val="TextBody"/>
        <w:bidi w:val="0"/>
        <w:spacing w:before="120" w:after="120"/>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tbl>
      <w:tblPr>
        <w:tblW w:w="5782" w:type="dxa"/>
        <w:jc w:val="left"/>
        <w:tblInd w:w="0" w:type="dxa"/>
        <w:tblLayout w:type="fixed"/>
        <w:tblCellMar>
          <w:top w:w="28" w:type="dxa"/>
          <w:left w:w="28" w:type="dxa"/>
          <w:bottom w:w="28" w:type="dxa"/>
          <w:right w:w="28" w:type="dxa"/>
        </w:tblCellMar>
      </w:tblPr>
      <w:tblGrid>
        <w:gridCol w:w="1966"/>
        <w:gridCol w:w="146"/>
        <w:gridCol w:w="146"/>
        <w:gridCol w:w="146"/>
        <w:gridCol w:w="406"/>
        <w:gridCol w:w="79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79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176" w:type="dxa"/>
            <w:tcBorders/>
            <w:tcMar>
              <w:top w:w="0" w:type="dxa"/>
              <w:left w:w="0" w:type="dxa"/>
              <w:bottom w:w="0" w:type="dxa"/>
              <w:right w:w="0" w:type="dxa"/>
            </w:tcMar>
            <w:vAlign w:val="center"/>
          </w:tcPr>
          <w:p>
            <w:pPr>
              <w:pStyle w:val="TableContents"/>
              <w:bidi w:val="0"/>
              <w:spacing w:before="120" w:after="120"/>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120" w:after="120"/>
              <w:jc w:val="left"/>
              <w:rPr>
                <w:rFonts w:ascii="Arial" w:hAnsi="Arial"/>
                <w:b/>
                <w:color w:val="000000"/>
                <w:sz w:val="20"/>
              </w:rPr>
            </w:pPr>
            <w:r>
              <w:rPr>
                <w:rFonts w:ascii="Arial" w:hAnsi="Arial"/>
                <w:b/>
                <w:color w:val="000000"/>
                <w:sz w:val="20"/>
              </w:rPr>
              <w:t>IQM QUANTUM COMPUTERS OYJ</w:t>
            </w:r>
          </w:p>
        </w:tc>
      </w:tr>
      <w:tr>
        <w:trPr/>
        <w:tc>
          <w:tcPr>
            <w:tcW w:w="196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120" w:after="120"/>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120" w:after="120"/>
              <w:jc w:val="left"/>
              <w:rPr/>
            </w:pPr>
            <w:r>
              <w:rPr/>
              <w:t> </w:t>
            </w:r>
          </w:p>
        </w:tc>
        <w:tc>
          <w:tcPr>
            <w:tcW w:w="2972" w:type="dxa"/>
            <w:gridSpan w:val="2"/>
            <w:tcBorders/>
            <w:tcMar>
              <w:top w:w="0" w:type="dxa"/>
              <w:left w:w="0" w:type="dxa"/>
              <w:bottom w:w="0" w:type="dxa"/>
              <w:right w:w="0" w:type="dxa"/>
            </w:tcMar>
            <w:vAlign w:val="center"/>
          </w:tcPr>
          <w:p>
            <w:pPr>
              <w:pStyle w:val="TableContents"/>
              <w:bidi w:val="0"/>
              <w:spacing w:before="120" w:after="120"/>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By:</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6" w:space="0" w:color="000000"/>
            </w:tcBorders>
            <w:tcMar>
              <w:top w:w="0" w:type="dxa"/>
              <w:left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/s/ Jan Goetz</w:t>
            </w:r>
          </w:p>
        </w:tc>
      </w:tr>
      <w:tr>
        <w:trPr/>
        <w:tc>
          <w:tcPr>
            <w:tcW w:w="196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796" w:type="dxa"/>
            <w:tcBorders/>
            <w:tcMar>
              <w:top w:w="0" w:type="dxa"/>
              <w:left w:w="0" w:type="dxa"/>
              <w:bottom w:w="0" w:type="dxa"/>
              <w:right w:w="0" w:type="dxa"/>
            </w:tcMar>
            <w:vAlign w:val="center"/>
          </w:tcPr>
          <w:p>
            <w:pPr>
              <w:pStyle w:val="TableContents"/>
              <w:bidi w:val="0"/>
              <w:spacing w:before="120" w:after="120"/>
              <w:jc w:val="left"/>
              <w:rPr/>
            </w:pPr>
            <w:r>
              <w:rPr>
                <w:color w:val="000000"/>
              </w:rPr>
              <w:t> </w:t>
            </w:r>
            <w:r>
              <w:rPr>
                <w:rFonts w:ascii="Arial" w:hAnsi="Arial"/>
                <w:color w:val="000000"/>
                <w:sz w:val="20"/>
              </w:rPr>
              <w:t xml:space="preserve">Name: </w:t>
            </w:r>
          </w:p>
        </w:tc>
        <w:tc>
          <w:tcPr>
            <w:tcW w:w="217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Jan Goetz</w:t>
            </w:r>
          </w:p>
        </w:tc>
      </w:tr>
      <w:tr>
        <w:trPr/>
        <w:tc>
          <w:tcPr>
            <w:tcW w:w="196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79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 </w:t>
            </w:r>
            <w:r>
              <w:rPr>
                <w:rFonts w:ascii="Arial" w:hAnsi="Arial"/>
                <w:color w:val="000000"/>
                <w:sz w:val="20"/>
              </w:rPr>
              <w:t>Title</w:t>
            </w:r>
          </w:p>
        </w:tc>
        <w:tc>
          <w:tcPr>
            <w:tcW w:w="217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Chief Executive Officer</w:t>
            </w:r>
          </w:p>
        </w:tc>
      </w:tr>
    </w:tbl>
    <w:p>
      <w:pPr>
        <w:pStyle w:val="TextBody"/>
        <w:bidi w:val="0"/>
        <w:spacing w:before="120" w:after="160"/>
        <w:jc w:val="both"/>
        <w:rPr/>
      </w:pPr>
      <w:r>
        <w:rPr/>
        <w:t> </w:t>
      </w:r>
    </w:p>
    <w:p>
      <w:pPr>
        <w:pStyle w:val="TextBody"/>
        <w:bidi w:val="0"/>
        <w:spacing w:before="0" w:after="12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bookmarkStart w:id="2" w:name="iqmx-ex99_1.htm"/>
      <w:bookmarkStart w:id="3" w:name="ksiqmxex99_1"/>
      <w:bookmarkEnd w:id="2"/>
      <w:bookmarkEnd w:id="3"/>
      <w:r>
        <w:rPr/>
        <w:t> </w:t>
      </w:r>
      <w:r>
        <w:br w:type="page"/>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spacing w:before="240" w:after="240"/>
        <w:jc w:val="center"/>
        <w:rPr>
          <w:rFonts w:ascii="sans-serif" w:hAnsi="sans-serif"/>
          <w:b/>
          <w:color w:val="000000"/>
          <w:sz w:val="28"/>
        </w:rPr>
      </w:pPr>
      <w:r>
        <w:rPr>
          <w:rFonts w:ascii="sans-serif" w:hAnsi="sans-serif"/>
          <w:b/>
          <w:color w:val="000000"/>
          <w:sz w:val="28"/>
        </w:rPr>
        <w:t>IQM Quantum Computers Reports First Earnings as Public Company, Reporting First Half and Second Quarter 2026 Results, and Initiates FY 2026 Guidance Supported by Over EUR 102 million Order Backlog</w:t>
      </w:r>
    </w:p>
    <w:p>
      <w:pPr>
        <w:pStyle w:val="TextBody"/>
        <w:bidi w:val="0"/>
        <w:jc w:val="left"/>
        <w:rPr>
          <w:rFonts w:ascii="Times New Roman" w:hAnsi="Times New Roman"/>
          <w:sz w:val="20"/>
        </w:rPr>
      </w:pPr>
      <w:r>
        <w:rPr>
          <w:rFonts w:ascii="sans-serif" w:hAnsi="sans-serif"/>
          <w:color w:val="000000"/>
          <w:sz w:val="24"/>
        </w:rPr>
        <w:t>IQM Quantum Computers Plc, Stock Exchange Release, Half year financial report August 4, 2026 at 08:00 (EEST)</w:t>
      </w:r>
      <w:r>
        <w:rPr>
          <w:rFonts w:ascii="Times New Roman" w:hAnsi="Times New Roman"/>
          <w:color w:val="000000"/>
          <w:sz w:val="20"/>
        </w:rPr>
        <w:t xml:space="preserve"> </w:t>
      </w:r>
    </w:p>
    <w:p>
      <w:pPr>
        <w:pStyle w:val="TextBody"/>
        <w:bidi w:val="0"/>
        <w:jc w:val="left"/>
        <w:rPr/>
      </w:pPr>
      <w:r>
        <w:rPr/>
        <w:t> </w:t>
      </w:r>
    </w:p>
    <w:p>
      <w:pPr>
        <w:pStyle w:val="TextBody"/>
        <w:bidi w:val="0"/>
        <w:spacing w:before="0" w:after="360"/>
        <w:jc w:val="both"/>
        <w:rPr>
          <w:rFonts w:ascii="Times New Roman" w:hAnsi="Times New Roman"/>
          <w:sz w:val="20"/>
        </w:rPr>
      </w:pPr>
      <w:r>
        <w:rPr>
          <w:rFonts w:ascii="sans-serif" w:hAnsi="sans-serif"/>
          <w:b/>
          <w:color w:val="000000"/>
          <w:sz w:val="24"/>
        </w:rPr>
        <w:t>ESPOO, FINLAND | August 4,</w:t>
      </w:r>
      <w:r>
        <w:rPr>
          <w:rFonts w:ascii="Times New Roman" w:hAnsi="Times New Roman"/>
          <w:color w:val="000000"/>
          <w:sz w:val="20"/>
        </w:rPr>
        <w:t xml:space="preserve"> </w:t>
      </w:r>
      <w:r>
        <w:rPr>
          <w:rFonts w:ascii="sans-serif" w:hAnsi="sans-serif"/>
          <w:b/>
          <w:color w:val="000000"/>
          <w:sz w:val="24"/>
        </w:rPr>
        <w:t>2026 |</w:t>
      </w:r>
      <w:r>
        <w:rPr>
          <w:rFonts w:ascii="Times New Roman" w:hAnsi="Times New Roman"/>
          <w:color w:val="000000"/>
          <w:sz w:val="20"/>
        </w:rPr>
        <w:t xml:space="preserve"> </w:t>
      </w:r>
      <w:r>
        <w:rPr>
          <w:rFonts w:ascii="sans-serif" w:hAnsi="sans-serif"/>
          <w:sz w:val="24"/>
        </w:rPr>
        <w:t>IQM Quantum Computers</w:t>
      </w:r>
      <w:r>
        <w:rPr>
          <w:rFonts w:ascii="Times New Roman" w:hAnsi="Times New Roman"/>
          <w:sz w:val="20"/>
        </w:rPr>
        <w:t xml:space="preserve"> </w:t>
      </w:r>
      <w:r>
        <w:rPr>
          <w:rFonts w:ascii="Arial" w:hAnsi="Arial"/>
          <w:sz w:val="22"/>
        </w:rPr>
        <w:t>Plc (N</w:t>
      </w:r>
      <w:r>
        <w:rPr>
          <w:rFonts w:ascii="sans-serif" w:hAnsi="sans-serif"/>
          <w:color w:val="000000"/>
          <w:sz w:val="24"/>
        </w:rPr>
        <w:t>asdaq: IQMX) (“IQM”, “IQM Quantum Computers” or the “Company”), a global leader in full-stack superconducting quantum computers, today announced its financial results for the first half and second quarter of 2026, ended on June 30, 2026.</w:t>
      </w:r>
    </w:p>
    <w:p>
      <w:pPr>
        <w:pStyle w:val="TextBody"/>
        <w:bidi w:val="0"/>
        <w:spacing w:before="0" w:after="360"/>
        <w:jc w:val="left"/>
        <w:rPr>
          <w:rFonts w:ascii="sans-serif" w:hAnsi="sans-serif"/>
          <w:b/>
          <w:color w:val="000000"/>
          <w:sz w:val="24"/>
        </w:rPr>
      </w:pPr>
      <w:r>
        <w:rPr>
          <w:rFonts w:ascii="sans-serif" w:hAnsi="sans-serif"/>
          <w:b/>
          <w:color w:val="000000"/>
          <w:sz w:val="24"/>
        </w:rPr>
        <w:t>First Half and Year to Date 2026 Financial Highlights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4"/>
        </w:rPr>
        <w:t>Order backlog of EUR 69.1 million as of June 30, 2026</w:t>
      </w:r>
      <w:r>
        <w:rPr>
          <w:color w:val="1F1F1F"/>
        </w:rPr>
        <w:t xml:space="preserve"> </w:t>
      </w:r>
    </w:p>
    <w:p>
      <w:pPr>
        <w:pStyle w:val="TextBody"/>
        <w:bidi w:val="0"/>
        <w:spacing w:before="0" w:after="0"/>
        <w:ind w:left="1080" w:right="0" w:hanging="0"/>
        <w:jc w:val="left"/>
        <w:rPr>
          <w:rFonts w:ascii="Times New Roman" w:hAnsi="Times New Roman"/>
          <w:color w:val="1F1F1F"/>
          <w:sz w:val="24"/>
        </w:rPr>
      </w:pPr>
      <w:r>
        <w:rPr>
          <w:rFonts w:ascii="Times New Roman" w:hAnsi="Times New Roman"/>
          <w:color w:val="1F1F1F"/>
          <w:sz w:val="24"/>
        </w:rPr>
        <w:t>o</w:t>
      </w:r>
    </w:p>
    <w:p>
      <w:pPr>
        <w:pStyle w:val="TextBody"/>
        <w:bidi w:val="0"/>
        <w:spacing w:before="0" w:after="0"/>
        <w:jc w:val="left"/>
        <w:rPr>
          <w:rFonts w:ascii="sans-serif" w:hAnsi="sans-serif"/>
          <w:color w:val="1F1F1F"/>
          <w:sz w:val="24"/>
        </w:rPr>
      </w:pPr>
      <w:r>
        <w:rPr>
          <w:rFonts w:ascii="sans-serif" w:hAnsi="sans-serif"/>
          <w:color w:val="1F1F1F"/>
          <w:sz w:val="24"/>
        </w:rPr>
        <w:t>EUR 33.0 million added to backlog since June 30, 2026, bringing total order backlog to over EUR 102.1 million as of August 3, 2026</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4"/>
        </w:rPr>
        <w:t xml:space="preserve">Total revenues for the six months ended June 30, 2026, were </w:t>
      </w:r>
      <w:r>
        <w:rPr>
          <w:rFonts w:ascii="sans-serif" w:hAnsi="sans-serif"/>
          <w:color w:val="1F1F1F"/>
          <w:sz w:val="24"/>
        </w:rPr>
        <w:t xml:space="preserve">EUR </w:t>
      </w:r>
      <w:r>
        <w:rPr>
          <w:rFonts w:ascii="sans-serif" w:hAnsi="sans-serif"/>
          <w:color w:val="000000"/>
          <w:sz w:val="24"/>
        </w:rPr>
        <w:t xml:space="preserve">8.9 million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4"/>
        </w:rPr>
        <w:t xml:space="preserve">Operating loss for the six months ended June 30, 2026, was </w:t>
      </w:r>
      <w:r>
        <w:rPr>
          <w:rFonts w:ascii="sans-serif" w:hAnsi="sans-serif"/>
          <w:color w:val="1F1F1F"/>
          <w:sz w:val="24"/>
        </w:rPr>
        <w:t xml:space="preserve">EUR </w:t>
      </w:r>
      <w:r>
        <w:rPr>
          <w:rFonts w:ascii="sans-serif" w:hAnsi="sans-serif"/>
          <w:color w:val="000000"/>
          <w:sz w:val="24"/>
        </w:rPr>
        <w:t xml:space="preserve">60.5 million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4"/>
        </w:rPr>
        <w:t xml:space="preserve">Cash Balance of </w:t>
      </w:r>
      <w:r>
        <w:rPr>
          <w:rFonts w:ascii="sans-serif" w:hAnsi="sans-serif"/>
          <w:color w:val="1F1F1F"/>
          <w:sz w:val="24"/>
        </w:rPr>
        <w:t xml:space="preserve">EUR </w:t>
      </w:r>
      <w:r>
        <w:rPr>
          <w:rFonts w:ascii="sans-serif" w:hAnsi="sans-serif"/>
          <w:color w:val="000000"/>
          <w:sz w:val="24"/>
        </w:rPr>
        <w:t>309.4 million as of July 2, 2026, inclusive of listing proceeds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2026 Financial Outlook: </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pPr>
      <w:r>
        <w:rPr>
          <w:rFonts w:ascii="sans-serif" w:hAnsi="sans-serif"/>
          <w:color w:val="000000"/>
          <w:sz w:val="24"/>
        </w:rPr>
        <w:t xml:space="preserve">Full-Year New Order Intake Target: </w:t>
      </w:r>
      <w:r>
        <w:rPr>
          <w:rFonts w:ascii="sans-serif" w:hAnsi="sans-serif"/>
          <w:color w:val="1F1F1F"/>
          <w:sz w:val="24"/>
        </w:rPr>
        <w:t>EUR</w:t>
      </w:r>
      <w:r>
        <w:rPr>
          <w:color w:val="000000"/>
        </w:rPr>
        <w:t xml:space="preserve"> </w:t>
      </w:r>
      <w:r>
        <w:rPr>
          <w:rFonts w:ascii="sans-serif" w:hAnsi="sans-serif"/>
          <w:color w:val="000000"/>
          <w:sz w:val="24"/>
        </w:rPr>
        <w:t xml:space="preserve">65 million to </w:t>
      </w:r>
      <w:r>
        <w:rPr>
          <w:rFonts w:ascii="sans-serif" w:hAnsi="sans-serif"/>
          <w:color w:val="1F1F1F"/>
          <w:sz w:val="24"/>
        </w:rPr>
        <w:t xml:space="preserve">EUR </w:t>
      </w:r>
      <w:r>
        <w:rPr>
          <w:rFonts w:ascii="sans-serif" w:hAnsi="sans-serif"/>
          <w:color w:val="000000"/>
          <w:sz w:val="24"/>
        </w:rPr>
        <w:t xml:space="preserve">75 million </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jc w:val="left"/>
        <w:rPr/>
      </w:pPr>
      <w:r>
        <w:rPr>
          <w:rFonts w:ascii="sans-serif" w:hAnsi="sans-serif"/>
          <w:color w:val="000000"/>
          <w:sz w:val="24"/>
        </w:rPr>
        <w:t>Full-Year 2026 Revenue Target:</w:t>
      </w:r>
      <w:r>
        <w:rPr>
          <w:color w:val="1F1F1F"/>
        </w:rPr>
        <w:t xml:space="preserve"> </w:t>
      </w:r>
      <w:r>
        <w:rPr>
          <w:rFonts w:ascii="sans-serif" w:hAnsi="sans-serif"/>
          <w:color w:val="1F1F1F"/>
          <w:sz w:val="24"/>
        </w:rPr>
        <w:t>EUR</w:t>
      </w:r>
      <w:r>
        <w:rPr>
          <w:color w:val="000000"/>
        </w:rPr>
        <w:t xml:space="preserve"> </w:t>
      </w:r>
      <w:r>
        <w:rPr>
          <w:rFonts w:ascii="sans-serif" w:hAnsi="sans-serif"/>
          <w:color w:val="000000"/>
          <w:sz w:val="24"/>
        </w:rPr>
        <w:t xml:space="preserve">42 million to </w:t>
      </w:r>
      <w:r>
        <w:rPr>
          <w:rFonts w:ascii="sans-serif" w:hAnsi="sans-serif"/>
          <w:color w:val="1F1F1F"/>
          <w:sz w:val="24"/>
        </w:rPr>
        <w:t xml:space="preserve">EUR </w:t>
      </w:r>
      <w:r>
        <w:rPr>
          <w:rFonts w:ascii="sans-serif" w:hAnsi="sans-serif"/>
          <w:color w:val="000000"/>
          <w:sz w:val="24"/>
        </w:rPr>
        <w:t xml:space="preserve">47 million </w:t>
      </w:r>
    </w:p>
    <w:p>
      <w:pPr>
        <w:pStyle w:val="TextBody"/>
        <w:bidi w:val="0"/>
        <w:ind w:left="1440" w:right="0" w:hanging="0"/>
        <w:jc w:val="left"/>
        <w:rPr/>
      </w:pPr>
      <w:r>
        <w:rPr/>
        <w:t> </w:t>
      </w:r>
    </w:p>
    <w:p>
      <w:pPr>
        <w:pStyle w:val="TextBody"/>
        <w:bidi w:val="0"/>
        <w:spacing w:before="0" w:after="360"/>
        <w:jc w:val="left"/>
        <w:rPr>
          <w:rFonts w:ascii="sans-serif" w:hAnsi="sans-serif"/>
          <w:b/>
          <w:color w:val="000000"/>
          <w:sz w:val="24"/>
        </w:rPr>
      </w:pPr>
      <w:r>
        <w:rPr>
          <w:rFonts w:ascii="sans-serif" w:hAnsi="sans-serif"/>
          <w:b/>
          <w:color w:val="000000"/>
          <w:sz w:val="24"/>
        </w:rPr>
        <w:t>First Half and Year to Date 2026 Operational Highlights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Expansion into several new markets, including Japan and Spain, through new customer wins and customer engagements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17 systems in total delivered globally to customers since founding, with 26 total systems sold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Notably, first US delivery to US Department of Energy's Oak Ridge National Laboratory in Tennessee in June 2026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Strong new sales momentum with a landmark deal announced with CSC, where IQM was selected to integrate a quantum computer into the LUMI AI Factory, connected to one of the world’s leading supercomputers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Concrete use-cases exploration with Deutsche Bahn that demonstrated a hybrid quantum-classical railway scheduling solution using real operational data on today's IQM hardware</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Significant advancements in error correction, first introducing tile codes and further refining them with the "barbell codes"—a novel family of qLDPC error correction codes customized for the IQM Constellation topology, showing strong improvement in efficiency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More than EUR 40 million investment into industrial expansion of our proprietary fab, doubling cleanroom capacity to enable the production of up to 30 full-stack quantum computers per year</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Key ecosystem partnerships and collaborations including with NVIDIA, conducting AI-driven parallel qubit calibration using the NVIDIA Ising open family of AI models, helping automate system tuning and improve system uptime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Collaboration with HPE including integrating IQM’s superconducting quantum computers with HPE Cray HPC infrastructure for hybrid enterprise environments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Significantly strengthened and expanded board with independent industry professionals as board members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Expanded management team with experienced key new hires, including CTO, COO and promoting Chief Scientist</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color w:val="000000"/>
          <w:sz w:val="24"/>
        </w:rPr>
        <w:t xml:space="preserve">Hosted successful inaugural Capital Markets Day in June 2026. Materials are available on IQM’s website - </w:t>
      </w:r>
      <w:r>
        <w:rPr>
          <w:rFonts w:ascii="sans-serif" w:hAnsi="sans-serif"/>
          <w:color w:val="0000FF"/>
          <w:sz w:val="24"/>
        </w:rPr>
        <w:t>https://investors.iqm.tech/</w:t>
      </w:r>
    </w:p>
    <w:p>
      <w:pPr>
        <w:pStyle w:val="TextBody"/>
        <w:bidi w:val="0"/>
        <w:ind w:left="720" w:right="0" w:hanging="0"/>
        <w:jc w:val="left"/>
        <w:rPr/>
      </w:pPr>
      <w:r>
        <w:rPr/>
        <w:t> </w:t>
      </w:r>
    </w:p>
    <w:p>
      <w:pPr>
        <w:pStyle w:val="TextBody"/>
        <w:bidi w:val="0"/>
        <w:spacing w:before="0" w:after="360"/>
        <w:jc w:val="left"/>
        <w:rPr>
          <w:rFonts w:ascii="sans-serif" w:hAnsi="sans-serif"/>
          <w:color w:val="000000"/>
          <w:sz w:val="24"/>
        </w:rPr>
      </w:pPr>
      <w:r>
        <w:rPr>
          <w:rFonts w:ascii="sans-serif" w:hAnsi="sans-serif"/>
          <w:color w:val="000000"/>
          <w:sz w:val="24"/>
        </w:rPr>
        <w:t>"Our public debut marks a historic milestone, demonstrating how technology leadership can capture global capital to transition quantum computing from research excellence into customer-ready computing infrastructure. IQM is operating from a position of verified commercial scale with 26 full-stack quantum computers sold, 17 delivered globally, and proven integration directly alongside AI supercomputers and high-performance data centers. As we execute our product roadmap and scale toward fault-tolerant quantum computing, our focus remains squarely on operational discipline, delivering real-world value, and strengthening our proposition as the partner of choice for sovereign and enterprise compute infrastructure," said Dr. Jan Goetz, CEO.</w:t>
      </w:r>
    </w:p>
    <w:p>
      <w:pPr>
        <w:pStyle w:val="TextBody"/>
        <w:bidi w:val="0"/>
        <w:spacing w:before="0" w:after="360"/>
        <w:jc w:val="left"/>
        <w:rPr>
          <w:rFonts w:ascii="Times New Roman" w:hAnsi="Times New Roman"/>
          <w:sz w:val="20"/>
        </w:rPr>
      </w:pPr>
      <w:r>
        <w:rPr>
          <w:rFonts w:ascii="sans-serif" w:hAnsi="sans-serif"/>
          <w:color w:val="000000"/>
          <w:sz w:val="24"/>
        </w:rPr>
        <w:t xml:space="preserve">"Our successful dual listing has fundamentally transformed our balance sheet, establishing a cash position of </w:t>
      </w:r>
      <w:r>
        <w:rPr>
          <w:rFonts w:ascii="sans-serif" w:hAnsi="sans-serif"/>
          <w:color w:val="1F1F1F"/>
          <w:sz w:val="24"/>
        </w:rPr>
        <w:t xml:space="preserve">EUR </w:t>
      </w:r>
      <w:r>
        <w:rPr>
          <w:rFonts w:ascii="sans-serif" w:hAnsi="sans-serif"/>
          <w:color w:val="000000"/>
          <w:sz w:val="24"/>
        </w:rPr>
        <w:t xml:space="preserve">309.4 million that provides a robust financial runway well into the second quarter of 2028. Supported by strong commercial momentum, with our total order backlog surpassing </w:t>
      </w:r>
      <w:r>
        <w:rPr>
          <w:rFonts w:ascii="sans-serif" w:hAnsi="sans-serif"/>
          <w:color w:val="1F1F1F"/>
          <w:sz w:val="24"/>
        </w:rPr>
        <w:t xml:space="preserve">EUR </w:t>
      </w:r>
      <w:r>
        <w:rPr>
          <w:rFonts w:ascii="sans-serif" w:hAnsi="sans-serif"/>
          <w:color w:val="000000"/>
          <w:sz w:val="24"/>
        </w:rPr>
        <w:t>102.1 million, we are confirming our full-year 2026 plan, with the momentum providing us confidence in our guidance. We are well-capitalized to strategically deploy cash into expanding our internal manufacturing capacity, accelerating on-premise system deliveries, and building long-term, sustainable market leadership in global quantum infrastructure,” said Jan Kuerschner, CFO.</w:t>
      </w:r>
    </w:p>
    <w:p>
      <w:pPr>
        <w:pStyle w:val="TextBody"/>
        <w:bidi w:val="0"/>
        <w:spacing w:before="0" w:after="360"/>
        <w:jc w:val="left"/>
        <w:rPr>
          <w:rFonts w:ascii="Times New Roman" w:hAnsi="Times New Roman"/>
          <w:sz w:val="20"/>
        </w:rPr>
      </w:pPr>
      <w:r>
        <w:rPr>
          <w:rFonts w:ascii="sans-serif" w:hAnsi="sans-serif"/>
          <w:color w:val="000000"/>
          <w:sz w:val="24"/>
        </w:rPr>
        <w:t xml:space="preserve">This release contains a summary of IQM Quantum Computers Oyj’s financial results for the first half and second quarter of 2026. The summary focuses on group-level financial information and the Company’s outlook. Detailed financial information and notes are available in the financial report accompanying this release and on the Company's website at </w:t>
      </w:r>
      <w:r>
        <w:rPr>
          <w:rFonts w:ascii="sans-serif" w:hAnsi="sans-serif"/>
          <w:color w:val="0000FF"/>
          <w:sz w:val="24"/>
        </w:rPr>
        <w:t>https://investors.iqm.tech/</w:t>
      </w:r>
      <w:r>
        <w:rPr>
          <w:rFonts w:ascii="sans-serif" w:hAnsi="sans-serif"/>
          <w:color w:val="000000"/>
          <w:sz w:val="24"/>
        </w:rPr>
        <w:t>. We encourage investors to review the tables and notes in the full report as well.</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rFonts w:ascii="Times New Roman" w:hAnsi="Times New Roman"/>
          <w:sz w:val="20"/>
        </w:rPr>
      </w:pPr>
      <w:r>
        <w:rPr>
          <w:rFonts w:ascii="sans-serif" w:hAnsi="sans-serif"/>
          <w:b/>
          <w:color w:val="000000"/>
          <w:sz w:val="24"/>
        </w:rPr>
        <w:t>Conference Call and Webcast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4"/>
        </w:rPr>
        <w:t>IQM will host a conference call today,</w:t>
      </w:r>
      <w:r>
        <w:rPr>
          <w:rFonts w:ascii="Times New Roman" w:hAnsi="Times New Roman"/>
          <w:color w:val="FF0000"/>
          <w:sz w:val="20"/>
        </w:rPr>
        <w:t xml:space="preserve"> </w:t>
      </w:r>
      <w:r>
        <w:rPr>
          <w:rFonts w:ascii="sans-serif" w:hAnsi="sans-serif"/>
          <w:color w:val="000000"/>
          <w:sz w:val="24"/>
        </w:rPr>
        <w:t>August 4, 2026, at 8:00 AM EDT to discuss its second quarter and first half 2026 financial results and full-year 2026 outlook.</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 xml:space="preserve">You can listen to a live audio webcast of the conference call at </w:t>
      </w:r>
      <w:r>
        <w:rPr>
          <w:rFonts w:ascii="sans-serif" w:hAnsi="sans-serif"/>
          <w:color w:val="0000FF"/>
          <w:sz w:val="24"/>
        </w:rPr>
        <w:t>https://edge.media-server.com/mmc/p/k7j4grx5</w:t>
      </w:r>
      <w:r>
        <w:rPr>
          <w:rFonts w:ascii="Times New Roman" w:hAnsi="Times New Roman"/>
          <w:color w:val="EE0000"/>
          <w:sz w:val="20"/>
        </w:rPr>
        <w:t xml:space="preserve"> </w:t>
      </w:r>
      <w:r>
        <w:rPr>
          <w:rFonts w:ascii="sans-serif" w:hAnsi="sans-serif"/>
          <w:color w:val="000000"/>
          <w:sz w:val="24"/>
        </w:rPr>
        <w:t xml:space="preserve">or the "Events &amp; Presentations" section of the Company's Investor Relations website at </w:t>
      </w:r>
      <w:r>
        <w:rPr>
          <w:rFonts w:ascii="sans-serif" w:hAnsi="sans-serif"/>
          <w:color w:val="0000FF"/>
          <w:sz w:val="24"/>
        </w:rPr>
        <w:t>https://investors.iqm.tech/</w:t>
      </w:r>
      <w:r>
        <w:rPr>
          <w:rFonts w:ascii="sans-serif" w:hAnsi="sans-serif"/>
          <w:color w:val="000000"/>
          <w:sz w:val="24"/>
        </w:rPr>
        <w:t>. A replay of the conference call will be available at the same locations following the conclusion of the call for one year.</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About IQM Quantum Computers</w:t>
      </w:r>
    </w:p>
    <w:p>
      <w:pPr>
        <w:pStyle w:val="TextBody"/>
        <w:bidi w:val="0"/>
        <w:jc w:val="both"/>
        <w:rPr>
          <w:rFonts w:ascii="sans-serif" w:hAnsi="sans-serif"/>
          <w:color w:val="000000"/>
          <w:sz w:val="24"/>
        </w:rPr>
      </w:pPr>
      <w:r>
        <w:rPr>
          <w:rFonts w:ascii="sans-serif" w:hAnsi="sans-serif"/>
          <w:color w:val="000000"/>
          <w:sz w:val="24"/>
        </w:rPr>
        <w:t>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the Nasdaq Stock Market.</w:t>
      </w:r>
    </w:p>
    <w:p>
      <w:pPr>
        <w:pStyle w:val="TextBody"/>
        <w:bidi w:val="0"/>
        <w:jc w:val="both"/>
        <w:rPr/>
      </w:pPr>
      <w:r>
        <w:rPr/>
        <w:t> </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Contacts</w:t>
      </w:r>
    </w:p>
    <w:p>
      <w:pPr>
        <w:pStyle w:val="TextBody"/>
        <w:bidi w:val="0"/>
        <w:jc w:val="both"/>
        <w:rPr>
          <w:rFonts w:ascii="sans-serif" w:hAnsi="sans-serif"/>
          <w:b/>
          <w:color w:val="000000"/>
          <w:sz w:val="24"/>
        </w:rPr>
      </w:pPr>
      <w:r>
        <w:rPr>
          <w:rFonts w:ascii="sans-serif" w:hAnsi="sans-serif"/>
          <w:b/>
          <w:color w:val="000000"/>
          <w:sz w:val="24"/>
        </w:rPr>
        <w:t>Media contact: </w:t>
      </w:r>
    </w:p>
    <w:p>
      <w:pPr>
        <w:pStyle w:val="TextBody"/>
        <w:bidi w:val="0"/>
        <w:jc w:val="both"/>
        <w:rPr>
          <w:rFonts w:ascii="sans-serif" w:hAnsi="sans-serif"/>
          <w:color w:val="000000"/>
          <w:sz w:val="24"/>
        </w:rPr>
      </w:pPr>
      <w:r>
        <w:rPr>
          <w:rFonts w:ascii="sans-serif" w:hAnsi="sans-serif"/>
          <w:color w:val="000000"/>
          <w:sz w:val="24"/>
        </w:rPr>
        <w:t>Michael Bruce</w:t>
      </w:r>
    </w:p>
    <w:p>
      <w:pPr>
        <w:pStyle w:val="TextBody"/>
        <w:bidi w:val="0"/>
        <w:jc w:val="both"/>
        <w:rPr>
          <w:rFonts w:ascii="Times New Roman" w:hAnsi="Times New Roman"/>
          <w:sz w:val="20"/>
        </w:rPr>
      </w:pPr>
      <w:r>
        <w:rPr>
          <w:rFonts w:ascii="sans-serif" w:hAnsi="sans-serif"/>
          <w:i/>
          <w:color w:val="000000"/>
          <w:sz w:val="24"/>
        </w:rPr>
        <w:t>PR Manager    </w:t>
      </w:r>
      <w:r>
        <w:rPr>
          <w:rFonts w:ascii="Times New Roman" w:hAnsi="Times New Roman"/>
          <w:color w:val="000000"/>
          <w:sz w:val="20"/>
        </w:rPr>
        <w:t xml:space="preserve"> </w:t>
      </w:r>
    </w:p>
    <w:p>
      <w:pPr>
        <w:pStyle w:val="TextBody"/>
        <w:bidi w:val="0"/>
        <w:jc w:val="both"/>
        <w:rPr>
          <w:rFonts w:ascii="sans-serif" w:hAnsi="sans-serif"/>
          <w:color w:val="000000"/>
          <w:sz w:val="24"/>
          <w:u w:val="single"/>
        </w:rPr>
      </w:pPr>
      <w:r>
        <w:rPr>
          <w:rFonts w:ascii="sans-serif" w:hAnsi="sans-serif"/>
          <w:color w:val="000000"/>
          <w:sz w:val="24"/>
          <w:u w:val="single"/>
        </w:rPr>
        <w:t>press@iqm.tech</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Investor contact:  </w:t>
      </w:r>
    </w:p>
    <w:p>
      <w:pPr>
        <w:pStyle w:val="TextBody"/>
        <w:bidi w:val="0"/>
        <w:jc w:val="both"/>
        <w:rPr>
          <w:rFonts w:ascii="sans-serif" w:hAnsi="sans-serif"/>
          <w:color w:val="000000"/>
          <w:sz w:val="24"/>
        </w:rPr>
      </w:pPr>
      <w:r>
        <w:rPr>
          <w:rFonts w:ascii="sans-serif" w:hAnsi="sans-serif"/>
          <w:color w:val="000000"/>
          <w:sz w:val="24"/>
        </w:rPr>
        <w:t>Blair Robertson</w:t>
      </w:r>
    </w:p>
    <w:p>
      <w:pPr>
        <w:pStyle w:val="TextBody"/>
        <w:bidi w:val="0"/>
        <w:jc w:val="both"/>
        <w:rPr>
          <w:rFonts w:ascii="sans-serif" w:hAnsi="sans-serif"/>
          <w:i/>
          <w:color w:val="000000"/>
          <w:sz w:val="24"/>
        </w:rPr>
      </w:pPr>
      <w:r>
        <w:rPr>
          <w:rFonts w:ascii="sans-serif" w:hAnsi="sans-serif"/>
          <w:i/>
          <w:color w:val="000000"/>
          <w:sz w:val="24"/>
        </w:rPr>
        <w:t>Vice President, Strategy &amp; Corporate Development</w:t>
      </w:r>
    </w:p>
    <w:p>
      <w:pPr>
        <w:pStyle w:val="TextBody"/>
        <w:bidi w:val="0"/>
        <w:jc w:val="both"/>
        <w:rPr>
          <w:rFonts w:ascii="sans-serif" w:hAnsi="sans-serif"/>
          <w:i/>
          <w:color w:val="000000"/>
          <w:sz w:val="24"/>
        </w:rPr>
      </w:pPr>
      <w:r>
        <w:rPr>
          <w:rFonts w:ascii="sans-serif" w:hAnsi="sans-serif"/>
          <w:i/>
          <w:color w:val="000000"/>
          <w:sz w:val="24"/>
        </w:rPr>
        <w:t>Investor Relations Officer</w:t>
      </w:r>
    </w:p>
    <w:p>
      <w:pPr>
        <w:pStyle w:val="TextBody"/>
        <w:bidi w:val="0"/>
        <w:jc w:val="both"/>
        <w:rPr>
          <w:rFonts w:ascii="sans-serif" w:hAnsi="sans-serif"/>
          <w:color w:val="000000"/>
          <w:sz w:val="24"/>
          <w:u w:val="single"/>
        </w:rPr>
      </w:pPr>
      <w:r>
        <w:rPr>
          <w:rFonts w:ascii="sans-serif" w:hAnsi="sans-serif"/>
          <w:color w:val="000000"/>
          <w:sz w:val="24"/>
          <w:u w:val="single"/>
        </w:rPr>
        <w:t>investors@iqm.tech</w:t>
      </w:r>
    </w:p>
    <w:p>
      <w:pPr>
        <w:pStyle w:val="TextBody"/>
        <w:bidi w:val="0"/>
        <w:jc w:val="both"/>
        <w:rPr/>
      </w:pPr>
      <w:r>
        <w:rPr/>
        <w:t> </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Key Operating Metrics</w:t>
      </w:r>
    </w:p>
    <w:p>
      <w:pPr>
        <w:pStyle w:val="TextBody"/>
        <w:bidi w:val="0"/>
        <w:jc w:val="left"/>
        <w:rPr>
          <w:rFonts w:ascii="Times New Roman" w:hAnsi="Times New Roman"/>
          <w:sz w:val="20"/>
        </w:rPr>
      </w:pPr>
      <w:r>
        <w:rPr>
          <w:rFonts w:ascii="sans-serif" w:hAnsi="sans-serif"/>
          <w:color w:val="000000"/>
          <w:sz w:val="24"/>
        </w:rPr>
        <w:t>In addition to the measures presented in our consolidated financial statements, we use Order Backlog and Order Intake as indicators of future revenues from existing signed orders. This approach provides management with a transparent bridge from confirmed orders to revenue, linking sales performance with revenue realization, while remaining consistent with the external definition of backlog as confirmed, not yet recognized orders. We believe these metrics provide useful information for the market to understand and evaluate our results of operations in the same manner as our management team. Order Backlog represents the value of binding customer orders that have been confirmed but not yet recognized as revenue at a point in time. We calculate Order Backlog as the point in time balance of Order Intake less recognized revenue. Order Intake represents the total monetary value of binding customer orders signed during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Times New Roman" w:hAnsi="Times New Roman"/>
          <w:sz w:val="20"/>
        </w:rPr>
      </w:pPr>
      <w:r>
        <w:rPr>
          <w:rFonts w:ascii="sans-serif" w:hAnsi="sans-serif"/>
          <w:color w:val="000000"/>
          <w:sz w:val="24"/>
        </w:rPr>
        <w:t>period, excluding pipeline or expected orders, and reflects new business secured and future revenue generation. These metrics are presented for supplemental informational purposes only, should not be considered substitutes for financial information presented in accordance with IFRS Accounting Standards, and may differ from similarly titled metrics or measures presented by other companies. In this release, we have provided our Order Backlog both as of June 30, 2026 and August 3, 2026. In future releases, we intend to only provide quarterly Order Backlog, and we do not undertake to provide post-quarter updated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Cautionary Language and Forward-Looking Statements</w:t>
      </w:r>
    </w:p>
    <w:p>
      <w:pPr>
        <w:pStyle w:val="TextBody"/>
        <w:bidi w:val="0"/>
        <w:jc w:val="left"/>
        <w:rPr>
          <w:rFonts w:ascii="Times New Roman" w:hAnsi="Times New Roman"/>
          <w:sz w:val="20"/>
        </w:rPr>
      </w:pPr>
      <w:r>
        <w:rPr>
          <w:rFonts w:ascii="sans-serif" w:hAnsi="sans-serif"/>
          <w:color w:val="000000"/>
          <w:sz w:val="24"/>
        </w:rPr>
        <w:t>Certain statements herein that are not historical facts are forward-looking statements. These forward-looking statements may be identified by the use of terms and phrases such as “believe,” “expect,” “intends,” “outlook,” “may,” “will,” and other similar terms and phrases. Such forward-looking statements include, but are not limited to, statements regarding IQM’s strategies, future or anticipated market or competitive position, business plans and future performance, including IQM’s cash runway and outlook for the third quarter and full-year 2026. Forward-looking statements involve known and unknown risks, uncertainties and other factors that could cause actual results to differ materially from the results anticipated by these forward-looking statements, including, but not limited to: A) expectations, plans, benefits or outlook related to our strategies, projects, programs, product launches, growth management, licenses, intellectual property, sustainability and other ESG targets, operational key performance indicators and decisions on market exits or expansions; B) expectations, plans or benefits related to future performance of our businesses (including the expected impact, timing and duration of potential global pandemics, geopolitical conflicts and the general or regional macroeconomic conditions on our businesses, our supply chain, the timing of market changes or turning points in demand and our customers’ businesses); C) expectations and targets regarding financial performance and results of operations, including market share, prices, net sales, order backlog, order intake, income, margins, cash flows, cost savings, the timing of receivables, operating expenses, provisions, impairments, tariffs, taxes, currency exchange rates, hedging, investment funds, inflation, product cost reductions, competitiveness, value creation, and revenue generation in any specific region; D) our ability to execute, expectations, plans or benefits related to transactions, investments and changes in organizational structure and operating model, including the expansion of our manufacturing and production capacity; E) expectations related to the commercialization and market acceptance of quantum technology and the timing and progress of product development; and F) other risks and uncertainties discussed in the “Risk Factors” section of IQM’s prospectus pursuant to Rule 424(b)(3) filed with the United States Securities and Exchange Commission (the “SEC”) on June 5, 2026, IQM’s prospectus approved by the Finnish Financial Supervisory Authority (the “FIN-FSA”) on 1 July 2026, and in other filings that IQM makes from time to time with the SEC or the FIN-FSA. These statements are based on management's best assumptions and beliefs in light of the information currently available to them. IQM anticipates that subsequent events and developments may cause its views to change. IQM specifically disclaims any obligation to update the forward-looking statements in this press release except as required by law. These forward-looking statements should not be relied upon as representing IQM’s views as of any date subsequent to the date hereof.</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sz w:val="20"/>
        </w:rPr>
      </w:pPr>
      <w:r>
        <w:rPr>
          <w:rFonts w:ascii="sans-serif" w:hAnsi="sans-serif"/>
          <w:b/>
          <w:color w:val="000000"/>
          <w:sz w:val="24"/>
        </w:rPr>
        <w:t xml:space="preserve">IQM Quantum Computers </w:t>
      </w:r>
      <w:r>
        <w:rPr>
          <w:rFonts w:ascii="Arial" w:hAnsi="Arial"/>
          <w:color w:val="000000"/>
          <w:sz w:val="22"/>
        </w:rPr>
        <w:br/>
      </w:r>
      <w:r>
        <w:rPr>
          <w:rFonts w:ascii="sans-serif" w:hAnsi="sans-serif"/>
          <w:b/>
          <w:color w:val="000000"/>
          <w:sz w:val="24"/>
        </w:rPr>
        <w:t>interim condensed consolidated statement of financial position (Balance Sheet)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i/>
          <w:color w:val="000000"/>
          <w:sz w:val="24"/>
        </w:rPr>
        <w:t>(in thousands, except share and per share amounts)</w:t>
      </w:r>
      <w:r>
        <w:rPr>
          <w:rFonts w:ascii="Arial" w:hAnsi="Arial"/>
          <w:color w:val="000000"/>
          <w:sz w:val="22"/>
        </w:rPr>
        <w:br/>
      </w:r>
      <w:r>
        <w:rPr>
          <w:rFonts w:ascii="sans-serif" w:hAnsi="sans-serif"/>
          <w:i/>
          <w:color w:val="000000"/>
          <w:sz w:val="24"/>
        </w:rPr>
        <w:t>(unaudited)</w:t>
      </w:r>
    </w:p>
    <w:p>
      <w:pPr>
        <w:pStyle w:val="TextBody"/>
        <w:bidi w:val="0"/>
        <w:jc w:val="center"/>
        <w:rPr/>
      </w:pPr>
      <w:r>
        <w:rPr/>
        <w:t> </w:t>
      </w:r>
    </w:p>
    <w:tbl>
      <w:tblPr>
        <w:tblW w:w="5418" w:type="dxa"/>
        <w:jc w:val="left"/>
        <w:tblInd w:w="0" w:type="dxa"/>
        <w:tblLayout w:type="fixed"/>
        <w:tblCellMar>
          <w:top w:w="28" w:type="dxa"/>
          <w:left w:w="28" w:type="dxa"/>
          <w:bottom w:w="28" w:type="dxa"/>
          <w:right w:w="28" w:type="dxa"/>
        </w:tblCellMar>
      </w:tblPr>
      <w:tblGrid>
        <w:gridCol w:w="2296"/>
        <w:gridCol w:w="190"/>
        <w:gridCol w:w="980"/>
        <w:gridCol w:w="166"/>
        <w:gridCol w:w="255"/>
        <w:gridCol w:w="1320"/>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Non-current assets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Right-of-use assets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non-current assets</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73,630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70,710</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assets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assets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receivables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financial assets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assets</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180,089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194,903</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assets</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253,719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265,613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 and liabilities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capital</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reserves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reserves</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205,900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Non-current liabilities</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Loans and borrowings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benefits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non-current liabilities</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13,480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21,420</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liabilities</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payables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Loans and borrowings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liabilities</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benefits</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liabilities</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57,817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38,292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 and liabilities</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253,719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265,613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sz w:val="20"/>
        </w:rPr>
      </w:pPr>
      <w:r>
        <w:rPr>
          <w:rFonts w:ascii="sans-serif" w:hAnsi="sans-serif"/>
          <w:b/>
          <w:color w:val="000000"/>
          <w:sz w:val="24"/>
        </w:rPr>
        <w:t>IQM Quantum Computers</w:t>
      </w:r>
      <w:r>
        <w:rPr>
          <w:rFonts w:ascii="Arial" w:hAnsi="Arial"/>
          <w:color w:val="000000"/>
          <w:sz w:val="22"/>
        </w:rPr>
        <w:br/>
      </w:r>
      <w:r>
        <w:rPr>
          <w:rFonts w:ascii="sans-serif" w:hAnsi="sans-serif"/>
          <w:b/>
          <w:color w:val="000000"/>
          <w:sz w:val="24"/>
        </w:rPr>
        <w:t>interim condensed consolidated statement of loss</w:t>
      </w:r>
    </w:p>
    <w:p>
      <w:pPr>
        <w:pStyle w:val="TextBody"/>
        <w:bidi w:val="0"/>
        <w:jc w:val="center"/>
        <w:rPr>
          <w:rFonts w:ascii="Times New Roman" w:hAnsi="Times New Roman"/>
          <w:sz w:val="20"/>
        </w:rPr>
      </w:pPr>
      <w:r>
        <w:rPr>
          <w:rFonts w:ascii="sans-serif" w:hAnsi="sans-serif"/>
          <w:i/>
          <w:color w:val="000000"/>
          <w:sz w:val="24"/>
        </w:rPr>
        <w:t>(in thousands, except share and per share amounts)</w:t>
      </w:r>
      <w:r>
        <w:rPr>
          <w:rFonts w:ascii="Arial" w:hAnsi="Arial"/>
          <w:color w:val="000000"/>
          <w:sz w:val="22"/>
        </w:rPr>
        <w:br/>
      </w:r>
      <w:r>
        <w:rPr>
          <w:rFonts w:ascii="sans-serif" w:hAnsi="sans-serif"/>
          <w:i/>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60"/>
        <w:gridCol w:w="212"/>
        <w:gridCol w:w="963"/>
        <w:gridCol w:w="241"/>
        <w:gridCol w:w="212"/>
        <w:gridCol w:w="963"/>
        <w:gridCol w:w="166"/>
        <w:gridCol w:w="202"/>
        <w:gridCol w:w="919"/>
        <w:gridCol w:w="230"/>
        <w:gridCol w:w="202"/>
        <w:gridCol w:w="919"/>
        <w:gridCol w:w="216"/>
      </w:tblGrid>
      <w:tr>
        <w:trPr/>
        <w:tc>
          <w:tcPr>
            <w:tcW w:w="47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47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1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1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 from contracts with customers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Gross profit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2,075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3,604</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2,407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expenses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 expenses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(26,201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expenses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(11,813</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(34,047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(25,650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losses (including reversals of impairment losses) on financial assets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loss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(30,895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(14,968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(60,537</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(31,635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income</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costs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(19,400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before income tax</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(36,532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(14,948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(74,871</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(34,516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Attributable to:</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holders of the parent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(74,897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per share (in EUR) attributable to the ordinary equity holders of the company:</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 earnings per share</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 earnings per share</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sz w:val="20"/>
        </w:rPr>
      </w:pPr>
      <w:r>
        <w:rPr>
          <w:rFonts w:ascii="sans-serif" w:hAnsi="sans-serif"/>
          <w:b/>
          <w:color w:val="000000"/>
          <w:sz w:val="24"/>
        </w:rPr>
        <w:t>IQM Quantum Computers</w:t>
      </w:r>
      <w:r>
        <w:rPr>
          <w:rFonts w:ascii="Arial" w:hAnsi="Arial"/>
          <w:color w:val="000000"/>
          <w:sz w:val="22"/>
        </w:rPr>
        <w:br/>
      </w:r>
      <w:r>
        <w:rPr>
          <w:rFonts w:ascii="sans-serif" w:hAnsi="sans-serif"/>
          <w:b/>
          <w:color w:val="000000"/>
          <w:sz w:val="24"/>
        </w:rPr>
        <w:t>interim condensed consolidated statement of cashflows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i/>
          <w:color w:val="000000"/>
          <w:sz w:val="24"/>
        </w:rPr>
        <w:t>(in thousands, except share and per share amounts)</w:t>
      </w:r>
      <w:r>
        <w:rPr>
          <w:rFonts w:ascii="Arial" w:hAnsi="Arial"/>
          <w:color w:val="000000"/>
          <w:sz w:val="22"/>
        </w:rPr>
        <w:br/>
      </w:r>
      <w:r>
        <w:rPr>
          <w:rFonts w:ascii="sans-serif" w:hAnsi="sans-serif"/>
          <w:i/>
          <w:color w:val="000000"/>
          <w:sz w:val="24"/>
        </w:rPr>
        <w:t>(unaudited)</w:t>
      </w:r>
    </w:p>
    <w:p>
      <w:pPr>
        <w:pStyle w:val="TextBody"/>
        <w:bidi w:val="0"/>
        <w:jc w:val="left"/>
        <w:rPr/>
      </w:pPr>
      <w:r>
        <w:rPr/>
        <w:t> </w:t>
      </w:r>
    </w:p>
    <w:tbl>
      <w:tblPr>
        <w:tblW w:w="8057" w:type="dxa"/>
        <w:jc w:val="left"/>
        <w:tblInd w:w="0" w:type="dxa"/>
        <w:tblLayout w:type="fixed"/>
        <w:tblCellMar>
          <w:top w:w="28" w:type="dxa"/>
          <w:left w:w="28" w:type="dxa"/>
          <w:bottom w:w="28" w:type="dxa"/>
          <w:right w:w="28" w:type="dxa"/>
        </w:tblCellMar>
      </w:tblPr>
      <w:tblGrid>
        <w:gridCol w:w="211"/>
        <w:gridCol w:w="4786"/>
        <w:gridCol w:w="226"/>
        <w:gridCol w:w="1070"/>
        <w:gridCol w:w="257"/>
        <w:gridCol w:w="226"/>
        <w:gridCol w:w="1070"/>
        <w:gridCol w:w="211"/>
      </w:tblGrid>
      <w:tr>
        <w:trPr/>
        <w:tc>
          <w:tcPr>
            <w:tcW w:w="21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for:</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Depreciation expense, amortization and </w:t>
              <w:br/>
              <w:t> impairment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Provisions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adjustments for non-cash items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Share-based payments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Finance income/cost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14,233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Income tax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Changes in:</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Inventories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(11,961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Trade receivables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financial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Trade payables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liabilities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Employee benefits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liabilities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Income taxes paid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operating activities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(50,003</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disposals of property, plant, and equipment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Purchases of property, plant and equipment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(7,159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Refund from purchase of property, plant and equipment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acquisition of subsidiary - net of cash</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received</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investing activities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(5,188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equity contributions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Transaction costs related to equity contributions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buybacks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warrants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20,501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loans and borrowings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loans and borrowings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lease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incentives received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(payment) of other financial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paid</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financing activities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22,008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125,713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increase/(decrease) in cash and cash equivalents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(33,184</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96,166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the beginning of year</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Effects of exchange rate changes on cash and cash equivalents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and cash equivalents at the end of period</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113,424</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4" w:name="iqmx-ex99_2.htm"/>
      <w:bookmarkStart w:id="5" w:name="ksiqmxex99_2"/>
      <w:bookmarkEnd w:id="4"/>
      <w:bookmarkEnd w:id="5"/>
      <w:r>
        <w:rPr>
          <w:rFonts w:ascii="Arial" w:hAnsi="Arial"/>
          <w:b/>
          <w:color w:val="000000"/>
          <w:sz w:val="24"/>
        </w:rPr>
        <w:t>Exhibit 99.2</w:t>
      </w:r>
      <w:r>
        <w:br w:type="page"/>
      </w:r>
    </w:p>
    <w:p>
      <w:pPr>
        <w:pStyle w:val="TextBody"/>
        <w:bidi w:val="0"/>
        <w:jc w:val="right"/>
        <w:rPr/>
      </w:pPr>
      <w:r>
        <w:rPr/>
        <w:t> </w:t>
      </w:r>
    </w:p>
    <w:p>
      <w:pPr>
        <w:pStyle w:val="TextBody"/>
        <w:bidi w:val="0"/>
        <w:spacing w:before="0" w:after="120"/>
        <w:jc w:val="both"/>
        <w:rPr>
          <w:rFonts w:ascii="Arial" w:hAnsi="Arial"/>
          <w:b/>
          <w:color w:val="000000"/>
          <w:sz w:val="40"/>
        </w:rPr>
      </w:pPr>
      <w:r>
        <w:rPr>
          <w:rFonts w:ascii="Arial" w:hAnsi="Arial"/>
          <w:b/>
          <w:color w:val="000000"/>
          <w:sz w:val="40"/>
        </w:rPr>
        <w:t>Q2 and half-year 2026 financial report (management's discussion and analysis)</w:t>
      </w:r>
    </w:p>
    <w:p>
      <w:pPr>
        <w:pStyle w:val="TextBody"/>
        <w:bidi w:val="0"/>
        <w:spacing w:before="0" w:after="120"/>
        <w:jc w:val="both"/>
        <w:rPr>
          <w:rFonts w:ascii="Arial" w:hAnsi="Arial"/>
          <w:color w:val="000000"/>
          <w:sz w:val="24"/>
        </w:rPr>
      </w:pPr>
      <w:r>
        <w:rPr>
          <w:rFonts w:ascii="Arial" w:hAnsi="Arial"/>
          <w:color w:val="000000"/>
          <w:sz w:val="24"/>
        </w:rPr>
        <w:t>STRONG REVENUE INCREASE IN THE FIRST HALF OF 2026, DRIVEN BY HIGHER SALES OF ON-PREMISE QUANTUM COMPUTERS.</w:t>
      </w:r>
    </w:p>
    <w:p>
      <w:pPr>
        <w:pStyle w:val="TextBody"/>
        <w:bidi w:val="0"/>
        <w:spacing w:before="0" w:after="160"/>
        <w:jc w:val="both"/>
        <w:rPr/>
      </w:pPr>
      <w:r>
        <w:rPr/>
        <w:t> </w:t>
      </w:r>
    </w:p>
    <w:p>
      <w:pPr>
        <w:pStyle w:val="TextBody"/>
        <w:bidi w:val="0"/>
        <w:spacing w:before="0" w:after="160"/>
        <w:jc w:val="both"/>
        <w:rPr>
          <w:rFonts w:ascii="Arial" w:hAnsi="Arial"/>
          <w:b/>
          <w:color w:val="000000"/>
          <w:sz w:val="20"/>
        </w:rPr>
      </w:pPr>
      <w:r>
        <w:rPr>
          <w:rFonts w:ascii="Arial" w:hAnsi="Arial"/>
          <w:b/>
          <w:color w:val="000000"/>
          <w:sz w:val="20"/>
        </w:rPr>
        <w:t>Six Months ended June 30, 2026 in brief</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Revenue increased by 47% to EUR 8.9 million compared with EUR 6.0 million for the six months ended June 30, 2025. The increase was mainly attributable to higher quantum computer sales and progress in projects recognized over time.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Gross profit amounted to EUR 3.6 million, compared with EUR 2.4 million for the six months ended June 30,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Operating loss was EUR 60.5 million, compared with an operating loss of EUR 31.6 million for the six months ended June 30, 2025, driven primarily by higher transaction costs incurred in connection with the business combination and the dual listing, as well as an acceleration of research and development activity and higher headcount.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for the period amounted to EUR 74.9 million, compared with EUR 34.6 million in the corresponding period of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Net cash used in operating activities amounted to EUR 50.0 million, compared with EUR 27.5 million for the six months ended June 30,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Cash and cash equivalents amounted to EUR 113.4 million as of June 30, 2026. Following the completion of the Business Combination after the reporting date, cash and cash equivalents increased to EUR 309.4 million.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Order backlog amounted to EUR 69.1 million at June 30, 2026 compared with EUR 67.3 million at the beginning of the year. The increase since the beginning of the year reflected new order intakes exceeding the revenue recognized from projects already included in the backlog.</w:t>
      </w:r>
    </w:p>
    <w:p>
      <w:pPr>
        <w:pStyle w:val="TextBody"/>
        <w:bidi w:val="0"/>
        <w:spacing w:before="120" w:after="283"/>
        <w:jc w:val="both"/>
        <w:rPr>
          <w:rFonts w:ascii="Arial" w:hAnsi="Arial"/>
          <w:b/>
          <w:color w:val="000000"/>
          <w:sz w:val="20"/>
        </w:rPr>
      </w:pPr>
      <w:r>
        <w:rPr>
          <w:rFonts w:ascii="Arial" w:hAnsi="Arial"/>
          <w:b/>
          <w:color w:val="000000"/>
          <w:sz w:val="20"/>
        </w:rPr>
        <w:t>Three Months ended June 30, 2026 in brief</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Revenue increased by 28% to EUR 6.7 million compared with EUR 5.2 million for the three months ended June 30, 2025. The increase was mainly driven by the sale and delivery of quantum computers and continued progress in customer projects recognized over time.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Gross profit amounted to EUR 3.1 million compared with EUR 2.1 million for the three months ended June 30,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Operating loss was EUR 30.9 million, compared with an operating loss of EUR 15.0 million for the three months ended June 30,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for the period amounted to EUR 36.6 million, compared with EUR 15.0 million in the corresponding period of 2025.</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rPr>
      </w:pPr>
      <w:r>
        <w:rPr>
          <w:rFonts w:ascii="Arial" w:hAnsi="Arial"/>
          <w:b/>
          <w:color w:val="000000"/>
          <w:sz w:val="20"/>
        </w:rPr>
        <w:t>CEO Review</w:t>
      </w:r>
    </w:p>
    <w:p>
      <w:pPr>
        <w:pStyle w:val="TextBody"/>
        <w:bidi w:val="0"/>
        <w:spacing w:before="120" w:after="283"/>
        <w:jc w:val="both"/>
        <w:rPr>
          <w:rFonts w:ascii="Arial" w:hAnsi="Arial"/>
          <w:color w:val="000000"/>
          <w:sz w:val="20"/>
        </w:rPr>
      </w:pPr>
      <w:r>
        <w:rPr>
          <w:rFonts w:ascii="Arial" w:hAnsi="Arial"/>
          <w:color w:val="000000"/>
          <w:sz w:val="20"/>
        </w:rPr>
        <w:t>The first half of 2026 marked an important period in IQM’s development. We continued to execute on our strategy of bringing full-stack quantum computers directly into high-performance computing centers, research institutions and enterprise environments. Our progress during the period reinforces our founding thesis: quantum computers will increasingly operate as specialized accelerators alongside classical CPUs, GPUs and AI infrastructure.</w:t>
      </w:r>
    </w:p>
    <w:p>
      <w:pPr>
        <w:pStyle w:val="TextBody"/>
        <w:bidi w:val="0"/>
        <w:spacing w:before="120" w:after="283"/>
        <w:jc w:val="both"/>
        <w:rPr>
          <w:rFonts w:ascii="Arial" w:hAnsi="Arial"/>
          <w:color w:val="000000"/>
          <w:sz w:val="20"/>
        </w:rPr>
      </w:pPr>
      <w:r>
        <w:rPr>
          <w:rFonts w:ascii="Arial" w:hAnsi="Arial"/>
          <w:color w:val="000000"/>
          <w:sz w:val="20"/>
        </w:rPr>
        <w:t>Our commercial scale continued to increase. As of June 30, 2026, since inception we have sold 26 full-stack quantum computers globally, built more than 50 systems and delivered 17 systems to customers, with a further eight systems in production. Our customers include some of the world’s leading supercomputing centers, research institutions and enterprises. Four of the world’s ten largest supercomputing centers use IQM full-stack quantum computers, demonstrating the performance, reliability and relevance of our technology.</w:t>
      </w:r>
    </w:p>
    <w:p>
      <w:pPr>
        <w:pStyle w:val="TextBody"/>
        <w:bidi w:val="0"/>
        <w:spacing w:before="120" w:after="283"/>
        <w:jc w:val="both"/>
        <w:rPr>
          <w:rFonts w:ascii="Arial" w:hAnsi="Arial"/>
          <w:color w:val="000000"/>
          <w:sz w:val="20"/>
        </w:rPr>
      </w:pPr>
      <w:r>
        <w:rPr>
          <w:rFonts w:ascii="Arial" w:hAnsi="Arial"/>
          <w:color w:val="000000"/>
          <w:sz w:val="20"/>
        </w:rPr>
        <w:t>During the six months ended June 30, 2026, we expanded into several new markets, including Japan, and Spain through new customer wins and customer engagements. Additionally, we have completed customer deliveries in the United States and Europe. Following deliveries in late 2025 to CINECA supercomputing center in Italy as well as to universities in Finland, Germany and Poland, we have, in the first six months of 2026, delivered to the U.S. Department of Energy’s Oak Ridge National Laboratory in Tennessee. Revenue increased by 47% to EUR 8.9 million for the six months ended June 30, 2026 as compared to EUR 6.0 million for the six months ended June 30, 2025.</w:t>
      </w:r>
    </w:p>
    <w:p>
      <w:pPr>
        <w:pStyle w:val="TextBody"/>
        <w:bidi w:val="0"/>
        <w:spacing w:before="120" w:after="283"/>
        <w:jc w:val="both"/>
        <w:rPr>
          <w:rFonts w:ascii="Arial" w:hAnsi="Arial"/>
          <w:color w:val="000000"/>
          <w:sz w:val="20"/>
        </w:rPr>
      </w:pPr>
      <w:r>
        <w:rPr>
          <w:rFonts w:ascii="Arial" w:hAnsi="Arial"/>
          <w:color w:val="000000"/>
          <w:sz w:val="20"/>
        </w:rPr>
        <w:t>Our order backlog remained exceptionally strong during the six months ended June 30, 2026. We entered the year with an order backlog of EUR 67.3 million. During the six months ended June 30, 2026, we added a further EUR 10.7 million through new order intake, while EUR 8.9 million was converted into revenue. As a result, our order backlog increased to EUR 69.1 million as at June 30, 2026.</w:t>
      </w:r>
    </w:p>
    <w:p>
      <w:pPr>
        <w:pStyle w:val="TextBody"/>
        <w:bidi w:val="0"/>
        <w:spacing w:before="120" w:after="283"/>
        <w:jc w:val="both"/>
        <w:rPr>
          <w:rFonts w:ascii="Times New Roman" w:hAnsi="Times New Roman"/>
          <w:sz w:val="20"/>
        </w:rPr>
      </w:pPr>
      <w:r>
        <w:rPr>
          <w:rFonts w:ascii="Arial" w:hAnsi="Arial"/>
          <w:color w:val="000000"/>
          <w:sz w:val="20"/>
        </w:rPr>
        <w:t xml:space="preserve">Since the end of the six months ended June 30, 2026, </w:t>
      </w:r>
      <w:r>
        <w:rPr>
          <w:rFonts w:ascii="Arial" w:hAnsi="Arial"/>
          <w:color w:val="1F1F1F"/>
          <w:sz w:val="20"/>
        </w:rPr>
        <w:t>IQM was selected to integrate a quantum computer into the LUMI AI Factory, connected to one of the world’s leading supercomputers. This</w:t>
      </w:r>
      <w:r>
        <w:rPr>
          <w:rFonts w:ascii="Times New Roman" w:hAnsi="Times New Roman"/>
          <w:color w:val="000000"/>
          <w:sz w:val="20"/>
        </w:rPr>
        <w:t xml:space="preserve"> </w:t>
      </w:r>
      <w:r>
        <w:rPr>
          <w:rFonts w:ascii="Arial" w:hAnsi="Arial"/>
          <w:color w:val="000000"/>
          <w:sz w:val="20"/>
        </w:rPr>
        <w:t>added a further EUR 33.0 million to our order backlog, bringing the total to more than EUR 102.1 million. .This subsequent increase demonstrates the continued demand for our quantum computing solutions and provides us with greater visibility over future revenue.</w:t>
      </w:r>
    </w:p>
    <w:p>
      <w:pPr>
        <w:pStyle w:val="TextBody"/>
        <w:bidi w:val="0"/>
        <w:spacing w:before="120" w:after="283"/>
        <w:jc w:val="both"/>
        <w:rPr>
          <w:rFonts w:ascii="Arial" w:hAnsi="Arial"/>
          <w:color w:val="000000"/>
          <w:sz w:val="20"/>
        </w:rPr>
      </w:pPr>
      <w:r>
        <w:rPr>
          <w:rFonts w:ascii="Arial" w:hAnsi="Arial"/>
          <w:color w:val="000000"/>
          <w:sz w:val="20"/>
        </w:rPr>
        <w:t>During the period, we continued to invest in our manufacturing capabilities. We are investing more than EUR 40 million in the expansion of our fabrication facility in Espoo, Finland. This investment will double our cleanroom capacity and establish the capability to produce up to 30 full-stack quantum computers annually. These investments will support our ability to meet increasing customer demand and execute against our long-term technology roadmap.</w:t>
      </w:r>
    </w:p>
    <w:p>
      <w:pPr>
        <w:pStyle w:val="TextBody"/>
        <w:bidi w:val="0"/>
        <w:spacing w:before="120" w:after="283"/>
        <w:jc w:val="both"/>
        <w:rPr>
          <w:rFonts w:ascii="Arial" w:hAnsi="Arial"/>
          <w:color w:val="000000"/>
          <w:sz w:val="20"/>
        </w:rPr>
      </w:pPr>
      <w:r>
        <w:rPr>
          <w:rFonts w:ascii="Arial" w:hAnsi="Arial"/>
          <w:color w:val="000000"/>
          <w:sz w:val="20"/>
        </w:rPr>
        <w:t>Our reported operating loss amounted to EUR 30.9 million for the three months ended June 30, 2026 and EUR 60.5 million for the six months ended June 30, 2026. The operating loss reflects the significant investments we continue to make in research and development, our product roadmap and the capabilities required to scale our business. We believe our product roadmap is world-leading, and its implementation remains well on track. In addition, we incurred one-off expenses during the six months ended June 30, 2026 in connection with the business combination, which closed in July 2026, and the dual listing, which adversely affected our operating result.</w:t>
      </w:r>
    </w:p>
    <w:p>
      <w:pPr>
        <w:pStyle w:val="TextBody"/>
        <w:bidi w:val="0"/>
        <w:spacing w:before="120" w:after="283"/>
        <w:jc w:val="both"/>
        <w:rPr>
          <w:rFonts w:ascii="Arial" w:hAnsi="Arial"/>
          <w:color w:val="000000"/>
          <w:sz w:val="20"/>
        </w:rPr>
      </w:pPr>
      <w:r>
        <w:rPr>
          <w:rFonts w:ascii="Arial" w:hAnsi="Arial"/>
          <w:color w:val="000000"/>
          <w:sz w:val="20"/>
        </w:rPr>
        <w:t>We also continued to strengthen our position at the intersection of quantum computing, artificial intelligence and high-performance computing. Our systems are designed to integrate directly into customers’ existing computing environments rather than operate as standalone machines. Partnerships with NVIDIA, AWS and HPE support this integration and enable IQM systems to operate alongside classical CPUs and GPUs in hybrid computing architectures.</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Shortly after the reporting period, we completed our business combination and entered the public markets under the ticker IQMX. Trading commenced on the Nasdaq Global Select Market in New York, followed by a listing on Nasdaq Helsinki. Completing the transaction within five months of its announcement reflects the organizational strength and execution capability we have built over recent years. The dual listing is an important milestone for IQM and provides an enhanced platform to attract international investment, expand our global presence and pursue our long-term growth strategy.</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Dr. Jan Goetz</w:t>
      </w:r>
      <w:r>
        <w:rPr>
          <w:rFonts w:ascii="Arial" w:hAnsi="Arial"/>
          <w:color w:val="000000"/>
          <w:sz w:val="20"/>
        </w:rPr>
        <w:br/>
      </w:r>
      <w:r>
        <w:rPr>
          <w:rFonts w:ascii="Arial" w:hAnsi="Arial"/>
          <w:b/>
          <w:color w:val="000000"/>
          <w:sz w:val="20"/>
        </w:rPr>
        <w:t>Co-Founder and CEO</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Listings on Nasdaq (U.S.) and Nasdaq Helsinki</w:t>
      </w:r>
    </w:p>
    <w:p>
      <w:pPr>
        <w:pStyle w:val="TextBody"/>
        <w:bidi w:val="0"/>
        <w:spacing w:before="120" w:after="283"/>
        <w:jc w:val="both"/>
        <w:rPr>
          <w:rFonts w:ascii="Arial" w:hAnsi="Arial"/>
          <w:color w:val="000000"/>
          <w:sz w:val="20"/>
        </w:rPr>
      </w:pPr>
      <w:r>
        <w:rPr>
          <w:rFonts w:ascii="Arial" w:hAnsi="Arial"/>
          <w:color w:val="000000"/>
          <w:sz w:val="20"/>
        </w:rPr>
        <w:t>On February 22, 2026, we entered into a Business Combination Agreement with Real Asset Acquisition Corp (“RAAQ”), a special purpose acquisition company whose securities were listed on Nasdaq. On July 2, 2026, IQM’s American Depositary Shares commenced trading on the Nasdaq Global Select Market under the ticker symbol “IQMX”. As a result, IQM became the first European quantum computing company listed on a major U.S. stock exchange.</w:t>
      </w:r>
    </w:p>
    <w:p>
      <w:pPr>
        <w:pStyle w:val="TextBody"/>
        <w:bidi w:val="0"/>
        <w:spacing w:before="120" w:after="283"/>
        <w:jc w:val="both"/>
        <w:rPr>
          <w:rFonts w:ascii="Arial" w:hAnsi="Arial"/>
          <w:color w:val="000000"/>
          <w:sz w:val="20"/>
        </w:rPr>
      </w:pPr>
      <w:r>
        <w:rPr>
          <w:rFonts w:ascii="Arial" w:hAnsi="Arial"/>
          <w:color w:val="000000"/>
          <w:sz w:val="20"/>
        </w:rPr>
        <w:t>The funds made available to the combined group primarily comprised the remaining proceeds held in RAAQ’s trust account after giving effect to shareholder redemptions and the payment of deferred underwriting commissions, funds held by RAAQ outside the trust account and proceeds from the related private investment in public equity transactions, net of transaction expenses.</w:t>
      </w:r>
    </w:p>
    <w:p>
      <w:pPr>
        <w:pStyle w:val="TextBody"/>
        <w:bidi w:val="0"/>
        <w:spacing w:before="120" w:after="283"/>
        <w:jc w:val="both"/>
        <w:rPr>
          <w:rFonts w:ascii="Arial" w:hAnsi="Arial"/>
          <w:color w:val="000000"/>
          <w:sz w:val="20"/>
        </w:rPr>
      </w:pPr>
      <w:r>
        <w:rPr>
          <w:rFonts w:ascii="Arial" w:hAnsi="Arial"/>
          <w:color w:val="000000"/>
          <w:sz w:val="20"/>
        </w:rPr>
        <w:t>Separately from the business combination and related US Listing, the Company pursued an initial listing in Finland on the Nasdaq Helsinki exchange. On July 3, 2026, the listing was successfully completed, and the Company’s shares commenced trading on Nasdaq Helsinki.</w:t>
      </w:r>
    </w:p>
    <w:p>
      <w:pPr>
        <w:pStyle w:val="TextBody"/>
        <w:bidi w:val="0"/>
        <w:spacing w:before="120" w:after="283"/>
        <w:jc w:val="both"/>
        <w:rPr>
          <w:rFonts w:ascii="Arial" w:hAnsi="Arial"/>
          <w:b/>
          <w:color w:val="000000"/>
          <w:sz w:val="20"/>
        </w:rPr>
      </w:pPr>
      <w:r>
        <w:rPr>
          <w:rFonts w:ascii="Arial" w:hAnsi="Arial"/>
          <w:b/>
          <w:color w:val="000000"/>
          <w:sz w:val="20"/>
        </w:rPr>
        <w:t>Key Factors Impacting Our Performance</w:t>
      </w:r>
    </w:p>
    <w:p>
      <w:pPr>
        <w:pStyle w:val="TextBody"/>
        <w:bidi w:val="0"/>
        <w:spacing w:before="120" w:after="283"/>
        <w:jc w:val="both"/>
        <w:rPr>
          <w:rFonts w:ascii="Arial" w:hAnsi="Arial"/>
          <w:color w:val="000000"/>
          <w:sz w:val="20"/>
        </w:rPr>
      </w:pPr>
      <w:r>
        <w:rPr>
          <w:rFonts w:ascii="Arial" w:hAnsi="Arial"/>
          <w:color w:val="000000"/>
          <w:sz w:val="20"/>
        </w:rPr>
        <w:t>We believe that the performance and future success of our business depend on several factors. While these factors present significant opportunities, they also pose risks and challenges that we must address to improve our results of operations.</w:t>
      </w:r>
    </w:p>
    <w:p>
      <w:pPr>
        <w:pStyle w:val="TextBody"/>
        <w:bidi w:val="0"/>
        <w:spacing w:before="120" w:after="283"/>
        <w:jc w:val="both"/>
        <w:rPr>
          <w:rFonts w:ascii="Arial" w:hAnsi="Arial"/>
          <w:b/>
          <w:i/>
          <w:color w:val="000000"/>
          <w:sz w:val="20"/>
        </w:rPr>
      </w:pPr>
      <w:r>
        <w:rPr>
          <w:rFonts w:ascii="Arial" w:hAnsi="Arial"/>
          <w:b/>
          <w:i/>
          <w:color w:val="000000"/>
          <w:sz w:val="20"/>
        </w:rPr>
        <w:t>Technologically Advanced Product Portfolio</w:t>
      </w:r>
    </w:p>
    <w:p>
      <w:pPr>
        <w:pStyle w:val="TextBody"/>
        <w:bidi w:val="0"/>
        <w:spacing w:before="120" w:after="283"/>
        <w:jc w:val="both"/>
        <w:rPr>
          <w:rFonts w:ascii="Arial" w:hAnsi="Arial"/>
          <w:color w:val="000000"/>
          <w:sz w:val="20"/>
        </w:rPr>
      </w:pPr>
      <w:r>
        <w:rPr>
          <w:rFonts w:ascii="Arial" w:hAnsi="Arial"/>
          <w:color w:val="000000"/>
          <w:sz w:val="20"/>
        </w:rPr>
        <w:t>Our success depends in part on our ability to deliver high-performance quantum computers and related solutions designed to meet the evolving requirements of our customers, including research institutions, governments and enterprises. We specialize in building quantum computers for high-performance computing, research applications and industry use-cases, and our technology focuses on scalable architecture and integrated quantum processors designed for fault-tolerant systems. Our technology roadmap includes advancing qubit fidelity, error correction, and modular designs to enable large-scale quantum systems. We intend to invest heavily in research and development to extend our technology leadership and advance our portfolio of quantum computers.</w:t>
      </w:r>
    </w:p>
    <w:p>
      <w:pPr>
        <w:pStyle w:val="TextBody"/>
        <w:bidi w:val="0"/>
        <w:spacing w:before="120" w:after="283"/>
        <w:jc w:val="both"/>
        <w:rPr>
          <w:rFonts w:ascii="Arial" w:hAnsi="Arial"/>
          <w:b/>
          <w:i/>
          <w:color w:val="000000"/>
          <w:sz w:val="20"/>
        </w:rPr>
      </w:pPr>
      <w:r>
        <w:rPr>
          <w:rFonts w:ascii="Arial" w:hAnsi="Arial"/>
          <w:b/>
          <w:i/>
          <w:color w:val="000000"/>
          <w:sz w:val="20"/>
        </w:rPr>
        <w:t>Expansion of Partnerships</w:t>
      </w:r>
    </w:p>
    <w:p>
      <w:pPr>
        <w:pStyle w:val="TextBody"/>
        <w:bidi w:val="0"/>
        <w:spacing w:before="120" w:after="283"/>
        <w:jc w:val="both"/>
        <w:rPr>
          <w:rFonts w:ascii="Arial" w:hAnsi="Arial"/>
          <w:color w:val="000000"/>
          <w:sz w:val="20"/>
        </w:rPr>
      </w:pPr>
      <w:r>
        <w:rPr>
          <w:rFonts w:ascii="Arial" w:hAnsi="Arial"/>
          <w:color w:val="000000"/>
          <w:sz w:val="20"/>
        </w:rPr>
        <w:t>Our success also depends in part on our ability to identify and enter into strategic partnership opportunities to accelerate the development of our technological capabilities and the broader quantum computing ecosystem. To date, we have established partnerships with major research institutions and government agencies across Europe, North America and Asia. We are also working on projects with various industrial partners to develop solutions for quantum-based applications in material science, finance, energy, chemistry, and logistics. We intend to continue to seek new partnership opportunities that we believe accelerate our technology roadmap and growth strategy.</w:t>
      </w:r>
    </w:p>
    <w:p>
      <w:pPr>
        <w:pStyle w:val="TextBody"/>
        <w:bidi w:val="0"/>
        <w:spacing w:before="120" w:after="283"/>
        <w:jc w:val="both"/>
        <w:rPr>
          <w:rFonts w:ascii="Arial" w:hAnsi="Arial"/>
          <w:b/>
          <w:i/>
          <w:color w:val="000000"/>
          <w:sz w:val="20"/>
        </w:rPr>
      </w:pPr>
      <w:r>
        <w:rPr>
          <w:rFonts w:ascii="Arial" w:hAnsi="Arial"/>
          <w:b/>
          <w:i/>
          <w:color w:val="000000"/>
          <w:sz w:val="20"/>
        </w:rPr>
        <w:t>Customer Acquisition and Retention</w:t>
      </w:r>
    </w:p>
    <w:p>
      <w:pPr>
        <w:pStyle w:val="TextBody"/>
        <w:bidi w:val="0"/>
        <w:spacing w:before="120" w:after="283"/>
        <w:jc w:val="both"/>
        <w:rPr>
          <w:rFonts w:ascii="Times New Roman" w:hAnsi="Times New Roman"/>
          <w:sz w:val="20"/>
        </w:rPr>
      </w:pPr>
      <w:r>
        <w:rPr>
          <w:rFonts w:ascii="Arial" w:hAnsi="Arial"/>
          <w:color w:val="000000"/>
          <w:sz w:val="20"/>
        </w:rPr>
        <w:t>Our success in achieving our growth objectives will depend on our ability to increase adoption of quantum computing technology and sales of our quantum computers. We believe that we are well-positioned to benefit from the development of quantum computing technology. As adoption of quantum computing technology increases, we believe the intuitive and accessible user experience provided by our quantum computers will enable us to attract new customers and commercial partners. As we execute on our strategy, we believe the reliability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and use of our platform will create virtuous network effects, driving adoption of quantum computing technologies, which will further encourage investment in quantum computing and thereby accelerate our product roadmap.</w:t>
      </w:r>
    </w:p>
    <w:p>
      <w:pPr>
        <w:pStyle w:val="TextBody"/>
        <w:bidi w:val="0"/>
        <w:spacing w:before="120" w:after="283"/>
        <w:jc w:val="both"/>
        <w:rPr>
          <w:rFonts w:ascii="Times New Roman" w:hAnsi="Times New Roman"/>
          <w:sz w:val="20"/>
        </w:rPr>
      </w:pPr>
      <w:r>
        <w:rPr>
          <w:rFonts w:ascii="Arial" w:hAnsi="Arial"/>
          <w:color w:val="000000"/>
          <w:sz w:val="20"/>
        </w:rPr>
        <w:t>Our ability to attract new and retain existing customers will depend on a number of factors, including the technological capabilities of our quantum computers, the offerings of our competitors and the effectiveness of our go-to-market and partnership activities.</w:t>
      </w:r>
      <w:r>
        <w:rPr>
          <w:rFonts w:ascii="Times New Roman" w:hAnsi="Times New Roman"/>
          <w:color w:val="000000"/>
          <w:sz w:val="20"/>
        </w:rPr>
        <w:t xml:space="preserve"> </w:t>
      </w:r>
      <w:r>
        <w:rPr>
          <w:rFonts w:ascii="Arial" w:hAnsi="Arial"/>
          <w:color w:val="000000"/>
          <w:sz w:val="20"/>
        </w:rPr>
        <w:t>We will need to dedicate significant resources to further develop our commercial and manufacturing capabilities.</w:t>
      </w:r>
    </w:p>
    <w:p>
      <w:pPr>
        <w:pStyle w:val="TextBody"/>
        <w:bidi w:val="0"/>
        <w:spacing w:before="120" w:after="283"/>
        <w:jc w:val="both"/>
        <w:rPr>
          <w:rFonts w:ascii="Arial" w:hAnsi="Arial"/>
          <w:b/>
          <w:i/>
          <w:color w:val="000000"/>
          <w:sz w:val="20"/>
        </w:rPr>
      </w:pPr>
      <w:r>
        <w:rPr>
          <w:rFonts w:ascii="Arial" w:hAnsi="Arial"/>
          <w:b/>
          <w:i/>
          <w:color w:val="000000"/>
          <w:sz w:val="20"/>
        </w:rPr>
        <w:t>Industry Trends</w:t>
      </w:r>
    </w:p>
    <w:p>
      <w:pPr>
        <w:pStyle w:val="TextBody"/>
        <w:bidi w:val="0"/>
        <w:spacing w:before="120" w:after="283"/>
        <w:jc w:val="both"/>
        <w:rPr>
          <w:rFonts w:ascii="Arial" w:hAnsi="Arial"/>
          <w:color w:val="000000"/>
          <w:sz w:val="20"/>
        </w:rPr>
      </w:pPr>
      <w:r>
        <w:rPr>
          <w:rFonts w:ascii="Arial" w:hAnsi="Arial"/>
          <w:color w:val="000000"/>
          <w:sz w:val="20"/>
        </w:rPr>
        <w:t>The quantum computing market is projected to grow significantly as industries seek solutions for optimization, material science, and cryptography. To date, we have benefited from Europe’s strong push for technological sovereignty and quantum investments. However, the industry is characterized by rapid technological development, and global competition from North American and Asian players with larger funding pools poses a risk. Our success will depend on our ability to achieve quantum advantage and demonstrate practical use cases for our quantum computers. Additionally, the demand for talent is increasing as the quantum computing market grows, creating challenges for companies in the industry to attract and retain talent, leading to talent shortages. Classical computing is also advancing technologically which could delay quantum adoption.</w:t>
      </w:r>
    </w:p>
    <w:p>
      <w:pPr>
        <w:pStyle w:val="TextBody"/>
        <w:bidi w:val="0"/>
        <w:spacing w:before="120" w:after="283"/>
        <w:jc w:val="both"/>
        <w:rPr>
          <w:rFonts w:ascii="Arial" w:hAnsi="Arial"/>
          <w:b/>
          <w:i/>
          <w:color w:val="000000"/>
          <w:sz w:val="20"/>
        </w:rPr>
      </w:pPr>
      <w:r>
        <w:rPr>
          <w:rFonts w:ascii="Arial" w:hAnsi="Arial"/>
          <w:b/>
          <w:i/>
          <w:color w:val="000000"/>
          <w:sz w:val="20"/>
        </w:rPr>
        <w:t>Availability of Capital</w:t>
      </w:r>
    </w:p>
    <w:p>
      <w:pPr>
        <w:pStyle w:val="TextBody"/>
        <w:bidi w:val="0"/>
        <w:spacing w:before="120" w:after="283"/>
        <w:jc w:val="both"/>
        <w:rPr>
          <w:rFonts w:ascii="Times New Roman" w:hAnsi="Times New Roman"/>
          <w:sz w:val="20"/>
        </w:rPr>
      </w:pPr>
      <w:r>
        <w:rPr>
          <w:rFonts w:ascii="Arial" w:hAnsi="Arial"/>
          <w:color w:val="000000"/>
          <w:sz w:val="20"/>
        </w:rPr>
        <w:t>The success of our growth strategy is contingent upon significant and sustained capital investment to achieve the necessary technological and commercial scale. We intend to invest significantly to accelerate our technology roadmap and scale our manufacturing processes. Realizing our growth objectives will require material financial commitment to both hardware infrastructure development and the expansion of our scientific and commercial teams to support and service a global customer base. Our ability to secure adequate capital will therefore be critical to achieve our growth objectives and</w:t>
      </w:r>
      <w:r>
        <w:rPr>
          <w:rFonts w:ascii="Times New Roman" w:hAnsi="Times New Roman"/>
          <w:color w:val="3F4350"/>
          <w:sz w:val="20"/>
        </w:rPr>
        <w:t xml:space="preserve"> </w:t>
      </w:r>
      <w:r>
        <w:rPr>
          <w:rFonts w:ascii="Arial" w:hAnsi="Arial"/>
          <w:color w:val="000000"/>
          <w:sz w:val="20"/>
        </w:rPr>
        <w:t>facilitate enterprise adoption of quantum computing.</w:t>
      </w:r>
    </w:p>
    <w:p>
      <w:pPr>
        <w:pStyle w:val="TextBody"/>
        <w:bidi w:val="0"/>
        <w:spacing w:before="120" w:after="283"/>
        <w:jc w:val="both"/>
        <w:rPr>
          <w:rFonts w:ascii="Arial" w:hAnsi="Arial"/>
          <w:b/>
          <w:i/>
          <w:color w:val="000000"/>
          <w:sz w:val="20"/>
        </w:rPr>
      </w:pPr>
      <w:r>
        <w:rPr>
          <w:rFonts w:ascii="Arial" w:hAnsi="Arial"/>
          <w:b/>
          <w:i/>
          <w:color w:val="000000"/>
          <w:sz w:val="20"/>
        </w:rPr>
        <w:t>Macroeconomic Environment</w:t>
      </w:r>
    </w:p>
    <w:p>
      <w:pPr>
        <w:pStyle w:val="TextBody"/>
        <w:bidi w:val="0"/>
        <w:spacing w:before="120" w:after="283"/>
        <w:jc w:val="both"/>
        <w:rPr>
          <w:rFonts w:ascii="Arial" w:hAnsi="Arial"/>
          <w:color w:val="000000"/>
          <w:sz w:val="20"/>
        </w:rPr>
      </w:pPr>
      <w:r>
        <w:rPr>
          <w:rFonts w:ascii="Arial" w:hAnsi="Arial"/>
          <w:color w:val="000000"/>
          <w:sz w:val="20"/>
        </w:rPr>
        <w:t>Our results of our operations may vary based on the impact of changes in the global economy. Negative conditions in the general economy in countries where we operate, including conditions resulting from changes in gross domestic product growth, inflation, interest rates, financial and credit market fluctuations, international trade relations and tariffs, pandemics, political turmoil, natural catastrophes, warfare, terrorist attacks, and geopolitical impacts on global supply chains, could negatively affect our business, including progress toward the development of quantum computing. It is not possible at this time to estimate the long-term impact that these and related events could have on our business, as this will depend on future developments that are highly uncertain and cannot be predicted. If any such adverse conditions occur, persist and deepen, our customers may slow their spending on quantum computing technology and we may experience a decrease in demand for our products. We may also experience an inability to access additional capital if needed which could negatively impact our liquidity.</w:t>
      </w:r>
    </w:p>
    <w:p>
      <w:pPr>
        <w:pStyle w:val="TextBody"/>
        <w:bidi w:val="0"/>
        <w:spacing w:before="120" w:after="283"/>
        <w:jc w:val="both"/>
        <w:rPr>
          <w:rFonts w:ascii="Times New Roman" w:hAnsi="Times New Roman"/>
          <w:sz w:val="20"/>
        </w:rPr>
      </w:pPr>
      <w:r>
        <w:rPr>
          <w:rFonts w:ascii="Arial" w:hAnsi="Arial"/>
          <w:b/>
          <w:color w:val="000000"/>
          <w:sz w:val="20"/>
        </w:rPr>
        <w:t>Key Components of Results of Operations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Revenue from Contracts with Customers</w:t>
      </w:r>
    </w:p>
    <w:p>
      <w:pPr>
        <w:pStyle w:val="TextBody"/>
        <w:bidi w:val="0"/>
        <w:spacing w:before="120" w:after="283"/>
        <w:jc w:val="both"/>
        <w:rPr>
          <w:rFonts w:ascii="Arial" w:hAnsi="Arial"/>
          <w:color w:val="000000"/>
          <w:sz w:val="20"/>
        </w:rPr>
      </w:pPr>
      <w:r>
        <w:rPr>
          <w:rFonts w:ascii="Arial" w:hAnsi="Arial"/>
          <w:color w:val="000000"/>
          <w:sz w:val="20"/>
        </w:rPr>
        <w:t>We primarily generate revenue from sales of our on-premises quantum computer systems, including co-development projects, and related professional services such as training, maintenance and technical support. In addition, we generate revenue from cloud-based usage of our quantum computers.</w:t>
      </w:r>
    </w:p>
    <w:p>
      <w:pPr>
        <w:pStyle w:val="TextBody"/>
        <w:bidi w:val="0"/>
        <w:spacing w:before="120" w:after="283"/>
        <w:jc w:val="both"/>
        <w:rPr>
          <w:rFonts w:ascii="Arial" w:hAnsi="Arial"/>
          <w:color w:val="000000"/>
          <w:sz w:val="20"/>
        </w:rPr>
      </w:pPr>
      <w:r>
        <w:rPr>
          <w:rFonts w:ascii="Arial" w:hAnsi="Arial"/>
          <w:color w:val="000000"/>
          <w:sz w:val="20"/>
        </w:rPr>
        <w:t>We recognize revenue from sales of customized quantum computer systems over time and recognize at a point in time when control transfers to the customer for standardized products or system sales. Revenue from cloud-based access is recognized based on usage. Revenue from service, maintenance, and technical support is recognized over time on a straight-line basis over the contract term. Training revenue is either recognized as part of performance obligation of a delivery project or as separate performance obligation at point in time when the service is delivered.</w:t>
      </w:r>
    </w:p>
    <w:p>
      <w:pPr>
        <w:pStyle w:val="TextBody"/>
        <w:bidi w:val="0"/>
        <w:spacing w:before="120" w:after="283"/>
        <w:jc w:val="both"/>
        <w:rPr>
          <w:rFonts w:ascii="Arial" w:hAnsi="Arial"/>
          <w:b/>
          <w:i/>
          <w:color w:val="000000"/>
          <w:sz w:val="20"/>
        </w:rPr>
      </w:pPr>
      <w:r>
        <w:rPr>
          <w:rFonts w:ascii="Arial" w:hAnsi="Arial"/>
          <w:b/>
          <w:i/>
          <w:color w:val="000000"/>
          <w:sz w:val="20"/>
        </w:rPr>
        <w:t>Cost of Revenue</w:t>
      </w:r>
    </w:p>
    <w:p>
      <w:pPr>
        <w:pStyle w:val="TextBody"/>
        <w:bidi w:val="0"/>
        <w:spacing w:before="120" w:after="283"/>
        <w:jc w:val="both"/>
        <w:rPr>
          <w:rFonts w:ascii="Times New Roman" w:hAnsi="Times New Roman"/>
          <w:sz w:val="20"/>
        </w:rPr>
      </w:pPr>
      <w:r>
        <w:rPr>
          <w:rFonts w:ascii="Arial" w:hAnsi="Arial"/>
          <w:color w:val="000000"/>
          <w:sz w:val="20"/>
        </w:rPr>
        <w:t>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logistics and warranty. In addition, there are allocated overhead costs for corporate functions and related costs such as depreciation, healthcare benefits, training and software.</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Arial" w:hAnsi="Arial"/>
          <w:i/>
          <w:color w:val="000000"/>
          <w:sz w:val="20"/>
        </w:rPr>
      </w:pPr>
      <w:r>
        <w:rPr>
          <w:rFonts w:ascii="Arial" w:hAnsi="Arial"/>
          <w:i/>
          <w:color w:val="000000"/>
          <w:sz w:val="20"/>
        </w:rPr>
        <w:t>Selling expenses</w:t>
      </w:r>
    </w:p>
    <w:p>
      <w:pPr>
        <w:pStyle w:val="TextBody"/>
        <w:bidi w:val="0"/>
        <w:spacing w:before="120" w:after="283"/>
        <w:jc w:val="both"/>
        <w:rPr>
          <w:rFonts w:ascii="Arial" w:hAnsi="Arial"/>
          <w:color w:val="000000"/>
          <w:sz w:val="20"/>
        </w:rPr>
      </w:pPr>
      <w:r>
        <w:rPr>
          <w:rFonts w:ascii="Arial" w:hAnsi="Arial"/>
          <w:color w:val="000000"/>
          <w:sz w:val="20"/>
        </w:rPr>
        <w:t>Selling expenses consist primarily of personnel-related expenses, including salaries, bonuses, benefits, stock-based compensation and social security for sales and business development personnel, marketing activities, advertising, travel expenses related to sales activities, external agency support, and public engagement initiatives. Selling expenses also include costs related to customer success teams and technical support staff. In addition, a portion of overhead costs are allocated to selling expenses for corporate functions and related costs such as depreciation, healthcare benefits, training and software.</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primarily consist of personnel-related expenses, including salaries, bonuses, benefits, stock-based compensation and social security for personnel in corporate functions such as finance, legal, human resources, and executive management. Fees for external consultants and professional service providers supporting strategic and compliance-related activities as well as communications and enterprise IT infrastructure costs are also included in general and administrative expenses. There is also a portion of overhead costs allocated to general and administrative expenses for corporate functions and related costs such as depreciation, healthcare benefits, training and software.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relate to the advancement of our quantum computing technologies and system integration capabilities. These include personnel-related expenses, including salaries, bonuses, benefits, 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and related costs such as depreciation, healthcare benefits, training and software.</w:t>
      </w:r>
    </w:p>
    <w:p>
      <w:pPr>
        <w:pStyle w:val="TextBody"/>
        <w:bidi w:val="0"/>
        <w:spacing w:before="120" w:after="283"/>
        <w:jc w:val="both"/>
        <w:rPr>
          <w:rFonts w:ascii="Arial" w:hAnsi="Arial"/>
          <w:i/>
          <w:color w:val="000000"/>
          <w:sz w:val="20"/>
        </w:rPr>
      </w:pPr>
      <w:r>
        <w:rPr>
          <w:rFonts w:ascii="Arial" w:hAnsi="Arial"/>
          <w:i/>
          <w:color w:val="000000"/>
          <w:sz w:val="20"/>
        </w:rPr>
        <w:t>Impairment losses on financial assets</w:t>
      </w:r>
    </w:p>
    <w:p>
      <w:pPr>
        <w:pStyle w:val="TextBody"/>
        <w:bidi w:val="0"/>
        <w:spacing w:before="120" w:after="283"/>
        <w:jc w:val="both"/>
        <w:rPr>
          <w:rFonts w:ascii="Arial" w:hAnsi="Arial"/>
          <w:color w:val="000000"/>
          <w:sz w:val="20"/>
        </w:rPr>
      </w:pPr>
      <w:r>
        <w:rPr>
          <w:rFonts w:ascii="Arial" w:hAnsi="Arial"/>
          <w:color w:val="000000"/>
          <w:sz w:val="20"/>
        </w:rPr>
        <w:t>Impairment losses on financial assets include the allowance for expected credit losses on trade receivables.</w:t>
      </w:r>
    </w:p>
    <w:p>
      <w:pPr>
        <w:pStyle w:val="TextBody"/>
        <w:bidi w:val="0"/>
        <w:spacing w:before="120" w:after="283"/>
        <w:jc w:val="both"/>
        <w:rPr>
          <w:rFonts w:ascii="Arial" w:hAnsi="Arial"/>
          <w:i/>
          <w:color w:val="000000"/>
          <w:sz w:val="20"/>
        </w:rPr>
      </w:pPr>
      <w:r>
        <w:rPr>
          <w:rFonts w:ascii="Arial" w:hAnsi="Arial"/>
          <w:i/>
          <w:color w:val="000000"/>
          <w:sz w:val="20"/>
        </w:rPr>
        <w:t>Other operating income</w:t>
      </w:r>
    </w:p>
    <w:p>
      <w:pPr>
        <w:pStyle w:val="TextBody"/>
        <w:bidi w:val="0"/>
        <w:spacing w:before="120" w:after="283"/>
        <w:jc w:val="both"/>
        <w:rPr>
          <w:rFonts w:ascii="Arial" w:hAnsi="Arial"/>
          <w:color w:val="000000"/>
          <w:sz w:val="20"/>
        </w:rPr>
      </w:pPr>
      <w:r>
        <w:rPr>
          <w:rFonts w:ascii="Arial" w:hAnsi="Arial"/>
          <w:color w:val="000000"/>
          <w:sz w:val="20"/>
        </w:rPr>
        <w:t>Other operating income consists primarily of income from government grants.</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rPr>
      </w:pPr>
      <w:r>
        <w:rPr>
          <w:rFonts w:ascii="Arial" w:hAnsi="Arial"/>
          <w:b/>
          <w:color w:val="000000"/>
          <w:sz w:val="20"/>
        </w:rPr>
        <w:t>Result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Periods Ended June 30, 2026, and 2025</w:t>
      </w:r>
    </w:p>
    <w:p>
      <w:pPr>
        <w:pStyle w:val="TextBody"/>
        <w:bidi w:val="0"/>
        <w:spacing w:before="120" w:after="283"/>
        <w:jc w:val="both"/>
        <w:rPr>
          <w:rFonts w:ascii="Arial" w:hAnsi="Arial"/>
          <w:color w:val="000000"/>
          <w:sz w:val="20"/>
        </w:rPr>
      </w:pPr>
      <w:r>
        <w:rPr>
          <w:rFonts w:ascii="Arial" w:hAnsi="Arial"/>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2053"/>
        <w:gridCol w:w="163"/>
        <w:gridCol w:w="740"/>
        <w:gridCol w:w="286"/>
        <w:gridCol w:w="163"/>
        <w:gridCol w:w="740"/>
        <w:gridCol w:w="256"/>
        <w:gridCol w:w="146"/>
        <w:gridCol w:w="661"/>
        <w:gridCol w:w="166"/>
        <w:gridCol w:w="146"/>
        <w:gridCol w:w="346"/>
        <w:gridCol w:w="256"/>
        <w:gridCol w:w="160"/>
        <w:gridCol w:w="727"/>
        <w:gridCol w:w="281"/>
        <w:gridCol w:w="160"/>
        <w:gridCol w:w="727"/>
        <w:gridCol w:w="256"/>
        <w:gridCol w:w="146"/>
        <w:gridCol w:w="661"/>
        <w:gridCol w:w="166"/>
        <w:gridCol w:w="146"/>
        <w:gridCol w:w="346"/>
        <w:gridCol w:w="307"/>
      </w:tblGrid>
      <w:tr>
        <w:trPr/>
        <w:tc>
          <w:tcPr>
            <w:tcW w:w="20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 from contracts with customers</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(5,265</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Gross profit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3,604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Gross margin</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expenses</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 expenses</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(26,201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expenses</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(34,047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losses (including reversals of impairment losses) on financial assets</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expenses</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loss</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(30,895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(14,968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NM</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(60,537</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income</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costs</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(19,400</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before income tax</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(36,532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NM</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(74,871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(34,516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NM</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NM</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NM</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Revenue from Contracts with Customers</w:t>
      </w:r>
    </w:p>
    <w:p>
      <w:pPr>
        <w:pStyle w:val="TextBody"/>
        <w:bidi w:val="0"/>
        <w:spacing w:before="120" w:after="283"/>
        <w:jc w:val="both"/>
        <w:rPr>
          <w:rFonts w:ascii="Arial" w:hAnsi="Arial"/>
          <w:color w:val="000000"/>
          <w:sz w:val="20"/>
        </w:rPr>
      </w:pPr>
      <w:r>
        <w:rPr>
          <w:rFonts w:ascii="Arial" w:hAnsi="Arial"/>
          <w:color w:val="000000"/>
          <w:sz w:val="20"/>
        </w:rPr>
        <w:t>Revenue increased by EUR 2.8 million, or 47%, to EUR 8.9 million for the six months ended June 30, 2026 as compared to EUR 6.0 million for the six months ended June 30, 2025. Revenue increased by EUR 1.4 million, or 28%, to EUR 6.7 million for the three months ended June 30, 2026 as compared to EUR 5.2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increases were primarily driven by standardized quantum computer system delivery and higher continued progress on customer projects for which revenue is recognized over time, compared to the corresponding periods in 2025.</w:t>
      </w:r>
    </w:p>
    <w:p>
      <w:pPr>
        <w:pStyle w:val="TextBody"/>
        <w:bidi w:val="0"/>
        <w:spacing w:before="120" w:after="283"/>
        <w:jc w:val="both"/>
        <w:rPr>
          <w:rFonts w:ascii="Arial" w:hAnsi="Arial"/>
          <w:color w:val="000000"/>
          <w:sz w:val="20"/>
        </w:rPr>
      </w:pPr>
      <w:r>
        <w:rPr>
          <w:rFonts w:ascii="Arial" w:hAnsi="Arial"/>
          <w:color w:val="000000"/>
          <w:sz w:val="20"/>
        </w:rPr>
        <w:t>We expect revenue to grow as we deliver against both our order backlog and new orders and achieve milestones on our technology roadmap.</w:t>
      </w:r>
    </w:p>
    <w:p>
      <w:pPr>
        <w:pStyle w:val="TextBody"/>
        <w:bidi w:val="0"/>
        <w:spacing w:before="120" w:after="283"/>
        <w:jc w:val="both"/>
        <w:rPr>
          <w:rFonts w:ascii="Arial" w:hAnsi="Arial"/>
          <w:b/>
          <w:i/>
          <w:color w:val="000000"/>
          <w:sz w:val="20"/>
        </w:rPr>
      </w:pPr>
      <w:r>
        <w:rPr>
          <w:rFonts w:ascii="Arial" w:hAnsi="Arial"/>
          <w:b/>
          <w:i/>
          <w:color w:val="000000"/>
          <w:sz w:val="20"/>
        </w:rPr>
        <w:t>Cost of Revenue</w:t>
      </w:r>
    </w:p>
    <w:p>
      <w:pPr>
        <w:pStyle w:val="TextBody"/>
        <w:bidi w:val="0"/>
        <w:spacing w:before="120" w:after="283"/>
        <w:jc w:val="both"/>
        <w:rPr>
          <w:rFonts w:ascii="Arial" w:hAnsi="Arial"/>
          <w:color w:val="000000"/>
          <w:sz w:val="20"/>
        </w:rPr>
      </w:pPr>
      <w:r>
        <w:rPr>
          <w:rFonts w:ascii="Arial" w:hAnsi="Arial"/>
          <w:color w:val="000000"/>
          <w:sz w:val="20"/>
        </w:rPr>
        <w:t>Cost of revenue increased by EUR 1.6 million, or 45%, to EUR 5.3 million for the six months ended June 30, 2026 as compared to EUR 3.6 million for the six months ended June 30, 2025. Cost of revenue increased by EUR 0.5 million, or 15%, to EUR 3.6 million for the three months ended June 30, 2026 as compared to EUR 3.2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increases were primarily in line with the higher revenue generated during the respective periods and reflected the increased use of personnel and material resources required to support higher sales volumes and progress on customer projects.</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expect cost of revenue to increase with growing sales of our quantum computer systems.</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Arial" w:hAnsi="Arial"/>
          <w:i/>
          <w:color w:val="000000"/>
          <w:sz w:val="20"/>
        </w:rPr>
      </w:pPr>
      <w:r>
        <w:rPr>
          <w:rFonts w:ascii="Arial" w:hAnsi="Arial"/>
          <w:i/>
          <w:color w:val="000000"/>
          <w:sz w:val="20"/>
        </w:rPr>
        <w:t>Selling Expenses</w:t>
      </w:r>
    </w:p>
    <w:p>
      <w:pPr>
        <w:pStyle w:val="TextBody"/>
        <w:bidi w:val="0"/>
        <w:spacing w:before="120" w:after="283"/>
        <w:jc w:val="both"/>
        <w:rPr>
          <w:rFonts w:ascii="Arial" w:hAnsi="Arial"/>
          <w:color w:val="000000"/>
          <w:sz w:val="20"/>
        </w:rPr>
      </w:pPr>
      <w:r>
        <w:rPr>
          <w:rFonts w:ascii="Arial" w:hAnsi="Arial"/>
          <w:color w:val="000000"/>
          <w:sz w:val="20"/>
        </w:rPr>
        <w:t>Selling expenses increased by EUR 4.7 million to EUR 7.0 million for the six months ended June 30, 2026 as compared to EUR 2.4 million for the six months ended June 30, 2025. Selling expenses increased by EUR 2.4 million to EUR 3.8 million for the three months ended June 30, 2026 as compared to EUR 1.4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for the six months ended June 30, 2026 was primarily due to an increase of EUR 2.2 million in personnel-related costs, an increase of EUR 0.5 million in consulting fees, and an increase of EUR 0.2 million in conference expenses, trade shows and other marketing related events.</w:t>
      </w:r>
    </w:p>
    <w:p>
      <w:pPr>
        <w:pStyle w:val="TextBody"/>
        <w:bidi w:val="0"/>
        <w:spacing w:before="120" w:after="283"/>
        <w:jc w:val="both"/>
        <w:rPr>
          <w:rFonts w:ascii="Arial" w:hAnsi="Arial"/>
          <w:color w:val="000000"/>
          <w:sz w:val="20"/>
        </w:rPr>
      </w:pPr>
      <w:r>
        <w:rPr>
          <w:rFonts w:ascii="Arial" w:hAnsi="Arial"/>
          <w:color w:val="000000"/>
          <w:sz w:val="20"/>
        </w:rPr>
        <w:t>The increase for the three months ended June 30, 2026 was mainly attributable to higher personnel-related costs of EUR 1.4 million, consulting fees of EUR 0.3 million, and expenses for conferences, trade shows and other marketing-related events of EUR 0.1 million.</w:t>
      </w:r>
    </w:p>
    <w:p>
      <w:pPr>
        <w:pStyle w:val="TextBody"/>
        <w:bidi w:val="0"/>
        <w:spacing w:before="120" w:after="283"/>
        <w:jc w:val="both"/>
        <w:rPr>
          <w:rFonts w:ascii="Arial" w:hAnsi="Arial"/>
          <w:color w:val="000000"/>
          <w:sz w:val="20"/>
        </w:rPr>
      </w:pPr>
      <w:r>
        <w:rPr>
          <w:rFonts w:ascii="Arial" w:hAnsi="Arial"/>
          <w:color w:val="000000"/>
          <w:sz w:val="20"/>
        </w:rPr>
        <w:t>We expect selling expenses to increase due to a scale up in the sales force as well as higher marketing expenses.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by EUR 19.3 million to EUR 26.2 million for the six months ended June 30, 2026 as compared to EUR 6.9 million for the six months ended June 30, 2025. General and administrative expenses increased by EUR 11.1 million to EUR 15.5 million for the three months ended June 30, 2026 as compared to EUR 4.4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in the six months and three months ended June 30, 2026 were primarily attributable to approximately EUR 9.9 million of transaction costs incurred in connection with the business combination and the commencement of US trading, the PIPE agreements and the Finnish initial public offering, as discussed above.</w:t>
      </w:r>
    </w:p>
    <w:p>
      <w:pPr>
        <w:pStyle w:val="TextBody"/>
        <w:bidi w:val="0"/>
        <w:spacing w:before="120" w:after="283"/>
        <w:jc w:val="both"/>
        <w:rPr>
          <w:rFonts w:ascii="Arial" w:hAnsi="Arial"/>
          <w:color w:val="000000"/>
          <w:sz w:val="20"/>
        </w:rPr>
      </w:pPr>
      <w:r>
        <w:rPr>
          <w:rFonts w:ascii="Arial" w:hAnsi="Arial"/>
          <w:color w:val="000000"/>
          <w:sz w:val="20"/>
        </w:rPr>
        <w:t>Ordinary general and administrative expenses also increased during the period, primarily due to EUR 5.0 million higher personnel-related expenses resulting from the expansion of the workforce and increased share-based payment expenses. In addition, accounting and audit expenses increased by EUR 1.6 million, mainly reflecting the enhanced financial reporting, audit and regulatory requirements associated with becoming a publicly listed company.</w:t>
      </w:r>
    </w:p>
    <w:p>
      <w:pPr>
        <w:pStyle w:val="TextBody"/>
        <w:bidi w:val="0"/>
        <w:spacing w:before="120" w:after="283"/>
        <w:jc w:val="both"/>
        <w:rPr>
          <w:rFonts w:ascii="Arial" w:hAnsi="Arial"/>
          <w:color w:val="000000"/>
          <w:sz w:val="20"/>
        </w:rPr>
      </w:pPr>
      <w:r>
        <w:rPr>
          <w:rFonts w:ascii="Arial" w:hAnsi="Arial"/>
          <w:color w:val="000000"/>
          <w:sz w:val="20"/>
        </w:rPr>
        <w:t>We expect general and administrative expenses to increase due to the overall growth of the business. However, this will be partially offset by a decrease in listing related costs.</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increased by EUR 8.4 million, or 33%, to EUR 34.0 million for the six months ended ended June 30, 2026 as compared to EUR 25.7 million for the six months ended June 30, 2025. Research and development expenses increased by EUR 4.5 million, or 38%, to EUR 16.3 million for the three months ended June 30, 2026 as compared to EUR 11.8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in research and development expenses was primarily driven by the continued expansion of the Company’s quantum computing development activities. This included higher personnel-related costs as well as increased expenditure for prototype development, testing, laboratory equipment and materials.</w:t>
      </w:r>
    </w:p>
    <w:p>
      <w:pPr>
        <w:pStyle w:val="TextBody"/>
        <w:bidi w:val="0"/>
        <w:spacing w:before="120" w:after="283"/>
        <w:jc w:val="both"/>
        <w:rPr>
          <w:rFonts w:ascii="Arial" w:hAnsi="Arial"/>
          <w:color w:val="000000"/>
          <w:sz w:val="20"/>
        </w:rPr>
      </w:pPr>
      <w:r>
        <w:rPr>
          <w:rFonts w:ascii="Arial" w:hAnsi="Arial"/>
          <w:color w:val="000000"/>
          <w:sz w:val="20"/>
        </w:rPr>
        <w:t>We expect research and development expenses to increase due to overall growth of the business and progress on our technology roadmap.</w:t>
      </w:r>
    </w:p>
    <w:p>
      <w:pPr>
        <w:pStyle w:val="TextBody"/>
        <w:bidi w:val="0"/>
        <w:spacing w:before="120" w:after="283"/>
        <w:jc w:val="both"/>
        <w:rPr>
          <w:rFonts w:ascii="Arial" w:hAnsi="Arial"/>
          <w:i/>
          <w:color w:val="000000"/>
          <w:sz w:val="20"/>
        </w:rPr>
      </w:pPr>
      <w:r>
        <w:rPr>
          <w:rFonts w:ascii="Arial" w:hAnsi="Arial"/>
          <w:i/>
          <w:color w:val="000000"/>
          <w:sz w:val="20"/>
        </w:rPr>
        <w:t>Impairment Losses on Financial Assets</w:t>
      </w:r>
    </w:p>
    <w:p>
      <w:pPr>
        <w:pStyle w:val="TextBody"/>
        <w:bidi w:val="0"/>
        <w:spacing w:before="120" w:after="283"/>
        <w:jc w:val="both"/>
        <w:rPr>
          <w:rFonts w:ascii="Arial" w:hAnsi="Arial"/>
          <w:color w:val="000000"/>
          <w:sz w:val="20"/>
        </w:rPr>
      </w:pPr>
      <w:r>
        <w:rPr>
          <w:rFonts w:ascii="Arial" w:hAnsi="Arial"/>
          <w:color w:val="000000"/>
          <w:sz w:val="20"/>
        </w:rPr>
        <w:t>Expected credit losses on trade receivables and contract assets decreased by EUR 24 thousand, resulting in a net reversal of the expected credit loss allowance of EUR 20 thousand for the six months ended June 30, 2026, compared with expected credit losses of EUR 4 thousand for the six months ended June 30, 2025.</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For the three months ended June 30, 2026, movement allowance on financial assets and contract assets increased by EUR 138 thousand to EUR 133 thousand, compared with a reversal of movement allowance of EUR 4 thousand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decrease for the six months ended June 30, 2026 primarily reflects the reversal of previously recognized movement allowances following improved collection expectations and the settlement of certain outstanding receivables. The increase for the three months ended June 30, 2026 was mainly driven by the recognition of additional movement allowances on specific trade receivables and contract assets based on updated assessments of their recoverability.</w:t>
      </w:r>
    </w:p>
    <w:p>
      <w:pPr>
        <w:pStyle w:val="TextBody"/>
        <w:bidi w:val="0"/>
        <w:spacing w:before="120" w:after="283"/>
        <w:jc w:val="both"/>
        <w:rPr>
          <w:rFonts w:ascii="Arial" w:hAnsi="Arial"/>
          <w:i/>
          <w:color w:val="000000"/>
          <w:sz w:val="20"/>
        </w:rPr>
      </w:pPr>
      <w:r>
        <w:rPr>
          <w:rFonts w:ascii="Arial" w:hAnsi="Arial"/>
          <w:i/>
          <w:color w:val="000000"/>
          <w:sz w:val="20"/>
        </w:rPr>
        <w:t>Other Operating Income</w:t>
      </w:r>
    </w:p>
    <w:p>
      <w:pPr>
        <w:pStyle w:val="TextBody"/>
        <w:bidi w:val="0"/>
        <w:spacing w:before="120" w:after="283"/>
        <w:jc w:val="both"/>
        <w:rPr>
          <w:rFonts w:ascii="Arial" w:hAnsi="Arial"/>
          <w:color w:val="000000"/>
          <w:sz w:val="20"/>
        </w:rPr>
      </w:pPr>
      <w:r>
        <w:rPr>
          <w:rFonts w:ascii="Arial" w:hAnsi="Arial"/>
          <w:color w:val="000000"/>
          <w:sz w:val="20"/>
        </w:rPr>
        <w:t>Other operating income increased by EUR 2.2 million to EUR 3.1 million for the six months ended June 30, 2026 as compared to EUR 0.9 million for the six months ended June 30, 2025. Other operating income increased by EUR 1.1 million to EUR 1.7 million for the three months ended June 30, 2026 as compared to EUR 0.6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was mainly driven by higher grant income resulting from newly funded research and development projects.</w:t>
      </w:r>
    </w:p>
    <w:p>
      <w:pPr>
        <w:pStyle w:val="TextBody"/>
        <w:bidi w:val="0"/>
        <w:spacing w:before="120" w:after="283"/>
        <w:jc w:val="both"/>
        <w:rPr>
          <w:rFonts w:ascii="Arial" w:hAnsi="Arial"/>
          <w:b/>
          <w:i/>
          <w:color w:val="000000"/>
          <w:sz w:val="20"/>
        </w:rPr>
      </w:pPr>
      <w:r>
        <w:rPr>
          <w:rFonts w:ascii="Arial" w:hAnsi="Arial"/>
          <w:b/>
          <w:i/>
          <w:color w:val="000000"/>
          <w:sz w:val="20"/>
        </w:rPr>
        <w:t>Financial Result</w:t>
      </w:r>
    </w:p>
    <w:p>
      <w:pPr>
        <w:pStyle w:val="TextBody"/>
        <w:bidi w:val="0"/>
        <w:spacing w:before="120" w:after="283"/>
        <w:jc w:val="both"/>
        <w:rPr>
          <w:rFonts w:ascii="Arial" w:hAnsi="Arial"/>
          <w:i/>
          <w:color w:val="000000"/>
          <w:sz w:val="20"/>
        </w:rPr>
      </w:pPr>
      <w:r>
        <w:rPr>
          <w:rFonts w:ascii="Arial" w:hAnsi="Arial"/>
          <w:i/>
          <w:color w:val="000000"/>
          <w:sz w:val="20"/>
        </w:rPr>
        <w:t>Finance Income</w:t>
      </w:r>
    </w:p>
    <w:p>
      <w:pPr>
        <w:pStyle w:val="TextBody"/>
        <w:bidi w:val="0"/>
        <w:spacing w:before="120" w:after="283"/>
        <w:jc w:val="both"/>
        <w:rPr>
          <w:rFonts w:ascii="Arial" w:hAnsi="Arial"/>
          <w:color w:val="000000"/>
          <w:sz w:val="20"/>
        </w:rPr>
      </w:pPr>
      <w:r>
        <w:rPr>
          <w:rFonts w:ascii="Arial" w:hAnsi="Arial"/>
          <w:color w:val="000000"/>
          <w:sz w:val="20"/>
        </w:rPr>
        <w:t>Finance income increased by EUR 4.1 million to EUR 5.1 million for the six months ended June 30, 2026 as compared to EUR 1.0 million for the six months ended June 30, 2025. Finance income increased by EUR 1.1 million to EUR 1.7 million for the three months ended June 30, 2026 as compared to EUR 0.6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was largely driven by fair value gains of EUR 4.1 million on financial assets measured at fair value through profit or loss, arising from fluctuations in the foreign currency component of the PIPE subscription agreements entered into during the six months ended June 30, 2026.</w:t>
      </w:r>
    </w:p>
    <w:p>
      <w:pPr>
        <w:pStyle w:val="TextBody"/>
        <w:bidi w:val="0"/>
        <w:spacing w:before="120" w:after="283"/>
        <w:jc w:val="both"/>
        <w:rPr>
          <w:rFonts w:ascii="Arial" w:hAnsi="Arial"/>
          <w:i/>
          <w:color w:val="000000"/>
          <w:sz w:val="20"/>
        </w:rPr>
      </w:pPr>
      <w:r>
        <w:rPr>
          <w:rFonts w:ascii="Arial" w:hAnsi="Arial"/>
          <w:i/>
          <w:color w:val="000000"/>
          <w:sz w:val="20"/>
        </w:rPr>
        <w:t>Finance Costs</w:t>
      </w:r>
    </w:p>
    <w:p>
      <w:pPr>
        <w:pStyle w:val="TextBody"/>
        <w:bidi w:val="0"/>
        <w:spacing w:before="120" w:after="283"/>
        <w:jc w:val="both"/>
        <w:rPr>
          <w:rFonts w:ascii="Arial" w:hAnsi="Arial"/>
          <w:color w:val="000000"/>
          <w:sz w:val="20"/>
        </w:rPr>
      </w:pPr>
      <w:r>
        <w:rPr>
          <w:rFonts w:ascii="Arial" w:hAnsi="Arial"/>
          <w:color w:val="000000"/>
          <w:sz w:val="20"/>
        </w:rPr>
        <w:t>Finance costs increased by EUR 15.6 million to EUR 19.4 million for the six months ended June 30, 2026 as compared to EUR 3.8 million for the six months ended June 30, 2025. Finance costs increased by EUR 6.7 million to EUR 7.3 million for the three months ended June 30, 2026 as compared to EUR 0.6 million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was primarily attributable to a share price-driven increase in the fair value of the Kreos Loan warrants of EUR 5.1 million, an increase of EUR 9.0 million in the fair value of the derivative financial liability relating to the conversion option embedded in the Aalto loan agreement, and revisions to the estimated future cash flows of the Kreos Loan.</w:t>
      </w:r>
    </w:p>
    <w:p>
      <w:pPr>
        <w:pStyle w:val="TextBody"/>
        <w:bidi w:val="0"/>
        <w:spacing w:before="120" w:after="283"/>
        <w:jc w:val="both"/>
        <w:rPr>
          <w:rFonts w:ascii="Arial" w:hAnsi="Arial"/>
          <w:color w:val="000000"/>
          <w:sz w:val="20"/>
        </w:rPr>
      </w:pPr>
      <w:r>
        <w:rPr>
          <w:rFonts w:ascii="Arial" w:hAnsi="Arial"/>
          <w:color w:val="000000"/>
          <w:sz w:val="20"/>
        </w:rPr>
        <w:t>As the Company exercised its prepayment option, the Kreos loan agreement was terminated. As a result, the deferred transaction costs attributable to Tranche B in the amount of EUR 2,196 thousand were expensed in full as of June 30, 2026.</w:t>
      </w:r>
    </w:p>
    <w:p>
      <w:pPr>
        <w:pStyle w:val="TextBody"/>
        <w:bidi w:val="0"/>
        <w:spacing w:before="120" w:after="283"/>
        <w:jc w:val="both"/>
        <w:rPr>
          <w:rFonts w:ascii="Times New Roman" w:hAnsi="Times New Roman"/>
          <w:sz w:val="20"/>
        </w:rPr>
      </w:pPr>
      <w:r>
        <w:rPr>
          <w:rFonts w:ascii="Arial" w:hAnsi="Arial"/>
          <w:b/>
          <w:color w:val="000000"/>
          <w:sz w:val="20"/>
        </w:rPr>
        <w:t>Key Operating Metric</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to the measures presented in our consolidated financial statements, we use Order Backlog as an indicator of future revenues from existing signed orders. This approach provides management with a transparent bridge from confirmed orders to revenue, linking sales performance with revenue realization, while remaining consistent with the external definition of backlog as confirmed, not yet recognized orders.</w:t>
      </w:r>
    </w:p>
    <w:p>
      <w:pPr>
        <w:pStyle w:val="TextBody"/>
        <w:bidi w:val="0"/>
        <w:spacing w:before="120" w:after="283"/>
        <w:jc w:val="both"/>
        <w:rPr>
          <w:rFonts w:ascii="Arial" w:hAnsi="Arial"/>
          <w:color w:val="000000"/>
          <w:sz w:val="20"/>
        </w:rPr>
      </w:pPr>
      <w:r>
        <w:rPr>
          <w:rFonts w:ascii="Arial" w:hAnsi="Arial"/>
          <w:color w:val="000000"/>
          <w:sz w:val="20"/>
        </w:rPr>
        <w:t>We believe this metric provides useful information for the market to understand and evaluate our results of operations in the same manner as our management team.</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Order Backlog represents the value of binding customer orders that have been confirmed but not yet recognized as revenue at a point in time. We calculate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w:t>
      </w:r>
    </w:p>
    <w:p>
      <w:pPr>
        <w:pStyle w:val="TextBody"/>
        <w:bidi w:val="0"/>
        <w:spacing w:before="120" w:after="283"/>
        <w:jc w:val="both"/>
        <w:rPr>
          <w:rFonts w:ascii="Times New Roman" w:hAnsi="Times New Roman"/>
          <w:sz w:val="20"/>
        </w:rPr>
      </w:pPr>
      <w:r>
        <w:rPr>
          <w:rFonts w:ascii="Arial" w:hAnsi="Arial"/>
          <w:color w:val="000000"/>
          <w:sz w:val="20"/>
        </w:rPr>
        <w:t>This metric is presented for supplemental informational purposes only, should not be considered a substitute for financial information presented in accordance with IFRS Accounting Standards, and may differ from similarly titled metrics or measures presented by other companies. Certain judgments and estimates are inherent in our processes to calculate this metric.</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table below sets forth our Order Backlog (movement) as of June 30, 2026 and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24"/>
        <w:gridCol w:w="190"/>
        <w:gridCol w:w="786"/>
        <w:gridCol w:w="190"/>
        <w:gridCol w:w="190"/>
        <w:gridCol w:w="786"/>
        <w:gridCol w:w="146"/>
        <w:gridCol w:w="152"/>
        <w:gridCol w:w="599"/>
        <w:gridCol w:w="166"/>
        <w:gridCol w:w="146"/>
        <w:gridCol w:w="346"/>
        <w:gridCol w:w="256"/>
        <w:gridCol w:w="185"/>
        <w:gridCol w:w="762"/>
        <w:gridCol w:w="185"/>
        <w:gridCol w:w="185"/>
        <w:gridCol w:w="762"/>
        <w:gridCol w:w="146"/>
        <w:gridCol w:w="146"/>
        <w:gridCol w:w="661"/>
        <w:gridCol w:w="166"/>
        <w:gridCol w:w="146"/>
        <w:gridCol w:w="376"/>
        <w:gridCol w:w="508"/>
      </w:tblGrid>
      <w:tr>
        <w:trPr/>
        <w:tc>
          <w:tcPr>
            <w:tcW w:w="20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024" w:type="dxa"/>
            <w:tcBorders/>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Change</w:t>
            </w:r>
          </w:p>
        </w:tc>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9"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Change</w:t>
            </w:r>
          </w:p>
        </w:tc>
        <w:tc>
          <w:tcPr>
            <w:tcW w:w="50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Order Backlog at the beginning of reporting period</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65,457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67,321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Order Intake</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10,332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Hardware and service</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5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Cloud platform</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recognized revenue</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Hardware and service</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5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Cloud platform</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Order Backlog at the end of reporting period</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20" w:after="283"/>
        <w:jc w:val="both"/>
        <w:rPr>
          <w:rFonts w:ascii="Arial" w:hAnsi="Arial"/>
          <w:color w:val="000000"/>
          <w:sz w:val="20"/>
        </w:rPr>
      </w:pPr>
      <w:r>
        <w:rPr>
          <w:rFonts w:ascii="Arial" w:hAnsi="Arial"/>
          <w:color w:val="000000"/>
          <w:sz w:val="20"/>
        </w:rPr>
        <w:t>Order Backlog increased by EUR 1.8 million, or 3%, to EUR 69.1 million during the six months ended June 30, 2026. 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For the six months ended June 30, 2025, Order Intake amounted to EUR 51.5 million while revenue recognition was comparatively low and amounted to EUR 6.0 million. That strong Order Intake in 2025 is still feeding revenue today, with recognized revenue rising by 47% to EUR 8.9 million for the six months ended June 30, 2026.</w:t>
      </w:r>
    </w:p>
    <w:p>
      <w:pPr>
        <w:pStyle w:val="TextBody"/>
        <w:bidi w:val="0"/>
        <w:spacing w:before="120" w:after="283"/>
        <w:jc w:val="both"/>
        <w:rPr>
          <w:rFonts w:ascii="Arial" w:hAnsi="Arial"/>
          <w:color w:val="000000"/>
          <w:sz w:val="20"/>
        </w:rPr>
      </w:pPr>
      <w:r>
        <w:rPr>
          <w:rFonts w:ascii="Arial" w:hAnsi="Arial"/>
          <w:color w:val="000000"/>
          <w:sz w:val="20"/>
        </w:rPr>
        <w:t>In July 2026, after the reporting date, the Company entered into an additional customer agreement for the development, manufacture and delivery of quantum computing hardware, with a contract value of EUR 33.0 million.</w:t>
      </w:r>
    </w:p>
    <w:p>
      <w:pPr>
        <w:pStyle w:val="TextBody"/>
        <w:bidi w:val="0"/>
        <w:spacing w:before="12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color w:val="000000"/>
          <w:sz w:val="20"/>
        </w:rPr>
      </w:pPr>
      <w:r>
        <w:rPr>
          <w:rFonts w:ascii="Arial" w:hAnsi="Arial"/>
          <w:color w:val="000000"/>
          <w:sz w:val="20"/>
        </w:rPr>
        <w:t>As of the reporting date on June 30, 2026, we held cash of EUR 113.4 million and have, to-date, primarily funded our operations through issuances of equity securities, raising net proceeds of EUR 489.5 million, as well as borrowings under debt facilities. Following the closing of the Business Combination on July 1, 2026 we held cash of EUR 309.4 million. Based on current forecasts, management believes our existing resources are sufficient to meet operating and capital expenditure needs for at least the next twelve months from this reporting date. We anticipate that we will meet our long-term cash requirements and obligations through operating cash flows and future equity or debt financings.</w:t>
      </w:r>
    </w:p>
    <w:p>
      <w:pPr>
        <w:pStyle w:val="TextBody"/>
        <w:bidi w:val="0"/>
        <w:spacing w:before="120" w:after="283"/>
        <w:jc w:val="both"/>
        <w:rPr>
          <w:rFonts w:ascii="Arial" w:hAnsi="Arial"/>
          <w:color w:val="000000"/>
          <w:sz w:val="20"/>
        </w:rPr>
      </w:pPr>
      <w:r>
        <w:rPr>
          <w:rFonts w:ascii="Arial" w:hAnsi="Arial"/>
          <w:color w:val="000000"/>
          <w:sz w:val="20"/>
        </w:rPr>
        <w:t>We have incurred net losses since inception and experienced negative cash flows from operations. During the six months ended June 30, 2026 and 2025, we incurred net losses of EUR 74.9 million and EUR 34.6 million, respectively. For the three months ended June 30, 2026 and 2025, our net loss was EUR 36.6 million and EUR 15.0 million, respectively. As of June 30, 2026, we had an accumulated deficit of EUR 307.1 million. We expect to incur additional losses and higher operating expenses for the foreseeable future as we continue to invest in research and development programs.</w:t>
      </w:r>
    </w:p>
    <w:p>
      <w:pPr>
        <w:pStyle w:val="TextBody"/>
        <w:bidi w:val="0"/>
        <w:spacing w:before="120" w:after="283"/>
        <w:jc w:val="both"/>
        <w:rPr>
          <w:rFonts w:ascii="Times New Roman" w:hAnsi="Times New Roman"/>
          <w:sz w:val="20"/>
        </w:rPr>
      </w:pPr>
      <w:r>
        <w:rPr>
          <w:rFonts w:ascii="Arial" w:hAnsi="Arial"/>
          <w:color w:val="000000"/>
          <w:sz w:val="20"/>
        </w:rPr>
        <w:t>Our primary uses of cash are to fund our operations as we continue to grow our business. We will require a significant amount of cash for expenditure as we invest in ongoing research and development and business operations. Until such time as we can generate significant revenue from cloud-based quantum computer offering and our professional services, we expect to finance our cash needs through public or private equity or debt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financings or other capital sources. However, we may be unable to raise additional funds or enter into such other arrangements, when needed, on favorable terms or at all. If we are unable to raise additional funds through equity or debt financing when needed, we may be required to delay, limit, or substantially reduce our development efforts. Our future capital requirements and the adequacy of available funds will depend on many factors, including those set forth in the section titled “Risk Factors.”</w:t>
      </w:r>
    </w:p>
    <w:p>
      <w:pPr>
        <w:pStyle w:val="TextBody"/>
        <w:bidi w:val="0"/>
        <w:spacing w:before="120" w:after="283"/>
        <w:jc w:val="both"/>
        <w:rPr>
          <w:rFonts w:ascii="Arial" w:hAnsi="Arial"/>
          <w:b/>
          <w:i/>
          <w:color w:val="000000"/>
          <w:sz w:val="20"/>
        </w:rPr>
      </w:pPr>
      <w:r>
        <w:rPr>
          <w:rFonts w:ascii="Arial" w:hAnsi="Arial"/>
          <w:b/>
          <w:i/>
          <w:color w:val="000000"/>
          <w:sz w:val="20"/>
        </w:rPr>
        <w:t>Prepayment notice of Kreos Capital loan and Warrants Exercise</w:t>
      </w:r>
    </w:p>
    <w:p>
      <w:pPr>
        <w:pStyle w:val="TextBody"/>
        <w:bidi w:val="0"/>
        <w:spacing w:before="120" w:after="283"/>
        <w:jc w:val="both"/>
        <w:rPr>
          <w:rFonts w:ascii="Times New Roman" w:hAnsi="Times New Roman"/>
          <w:sz w:val="20"/>
        </w:rPr>
      </w:pPr>
      <w:r>
        <w:rPr>
          <w:rFonts w:ascii="Arial" w:hAnsi="Arial"/>
          <w:color w:val="000000"/>
          <w:sz w:val="20"/>
        </w:rPr>
        <w:t>We are party to a loan and security agreement (the “Kreos Loan Agreement”) with Kreos Capital VII (UK) Limited (“Kreos”), dated December 23, 2025. The Kreos Loan Agreement provides for a term loan facility of up to EUR 50.0 million aggregate principal amount, to be drawn in two loans: (i) a first loan of EUR 5.0 million, to be drawn in one tranche on or prior to January 15, 2026, and (ii) a second tranche of EUR 45.0 million, to be drawn in one or more tranches on or prior to July 31, 2026. On January 15, 2026, we drew EUR 5.0 million pursuant to the first loan under the Kreos Loan Agreement.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By the end of June 2026, we delivered a prepayment notice to Kreos pursuant to which we elected to prepay the outstanding principal amount under the Kreos Loan Agreement amounting to EUR 5.0 million. As a result of the notice, the outstanding loan amount was repaid in full on July 31, 2026, after the reporting date, together with accrued interest, a contractual prepayment fee of EUR 0.8 million and any other amounts due under the Kreos Loan Agreement. Following completion of the prepayment, no further amounts will be available to be drawn under the Kreos Loan Agreement.</w:t>
      </w:r>
    </w:p>
    <w:p>
      <w:pPr>
        <w:pStyle w:val="TextBody"/>
        <w:bidi w:val="0"/>
        <w:spacing w:before="120" w:after="283"/>
        <w:jc w:val="both"/>
        <w:rPr>
          <w:rFonts w:ascii="Times New Roman" w:hAnsi="Times New Roman"/>
          <w:sz w:val="20"/>
        </w:rPr>
      </w:pPr>
      <w:r>
        <w:rPr>
          <w:rFonts w:ascii="Arial" w:hAnsi="Arial"/>
          <w:color w:val="000000"/>
          <w:sz w:val="20"/>
        </w:rPr>
        <w:t>In connection with our entry into the Kreos Loan Agreement, we issued warrants (the “Kreos Warrants”) to Kreos Capital to acquire a number of our ordinary shares equal to EUR 5.0 million divided by the applicable subscription price. On July 9, 2026, subsequent to the reporting date, Kreos Capital exercised the Kreos Warrants in accordance with their contractual terms. As a result of the exercise, the Kreos Warrants were settled through the issuance of ordinary shares and ceased to be outstanding.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Conversion of Loan Agreements with Aalto University Foundation SR</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On June 30, 2026, the two convertible loan agreements (collectively, the “Aalto Loan Agreements”) with Aalto University Foundation SR (“Aalto”) were fully converted into equity in accordance with their contractual terms. Immediately prior to the conversion, the embedded derivative financial liability was remeasured at fair value, resulting in a fair value loss of EUR 9.0 million recognized within finance expenses for the six months ended June 30, 2026. Upon conversion, the carrying amounts of both the host loan liability and the embedded derivative financial liability were derecognized and recognized directly in equity. Accordingly, no Aalto loan liability remained outstanding as of June 30, 2026.</w:t>
      </w:r>
    </w:p>
    <w:p>
      <w:pPr>
        <w:pStyle w:val="TextBody"/>
        <w:bidi w:val="0"/>
        <w:spacing w:before="120" w:after="283"/>
        <w:jc w:val="both"/>
        <w:rPr>
          <w:rFonts w:ascii="Arial" w:hAnsi="Arial"/>
          <w:b/>
          <w:color w:val="000000"/>
          <w:sz w:val="20"/>
        </w:rPr>
      </w:pPr>
      <w:r>
        <w:rPr>
          <w:rFonts w:ascii="Arial" w:hAnsi="Arial"/>
          <w:b/>
          <w:color w:val="000000"/>
          <w:sz w:val="20"/>
        </w:rPr>
        <w:t>Material Cash Requirements</w:t>
      </w:r>
    </w:p>
    <w:p>
      <w:pPr>
        <w:pStyle w:val="TextBody"/>
        <w:bidi w:val="0"/>
        <w:spacing w:before="120" w:after="283"/>
        <w:jc w:val="both"/>
        <w:rPr>
          <w:rFonts w:ascii="Times New Roman" w:hAnsi="Times New Roman"/>
          <w:sz w:val="20"/>
        </w:rPr>
      </w:pPr>
      <w:r>
        <w:rPr>
          <w:rFonts w:ascii="Arial" w:hAnsi="Arial"/>
          <w:color w:val="000000"/>
          <w:sz w:val="20"/>
        </w:rPr>
        <w:t>Our material contractual commitments as of June 30, 2026 primarily relate to purchases of production material, transaction and placement fees, capital expenditures and existing lease commitments.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Certain material transaction fees became payable upon closing of the Business Combination and the PIPE agreements, after the reporting date on July 1, 2026. A significant portion of the underlying services had already been rendered during the six months ended June 30, 2026. The related fees amounted to EUR 13.5 million in aggregate.</w:t>
      </w:r>
    </w:p>
    <w:p>
      <w:pPr>
        <w:pStyle w:val="TextBody"/>
        <w:bidi w:val="0"/>
        <w:spacing w:before="120" w:after="283"/>
        <w:jc w:val="both"/>
        <w:rPr>
          <w:rFonts w:ascii="Arial" w:hAnsi="Arial"/>
          <w:color w:val="000000"/>
          <w:sz w:val="20"/>
        </w:rPr>
      </w:pPr>
      <w:r>
        <w:rPr>
          <w:rFonts w:ascii="Arial" w:hAnsi="Arial"/>
          <w:color w:val="000000"/>
          <w:sz w:val="20"/>
        </w:rPr>
        <w:t>As of June 30, 2026, we have total lease obligations of EUR 15.2 million, with EUR 2.8 million payable within 12 months. Other than lease commitments, capital expenditures and production material purchases, cash requirements for fiscal year 2026 are expected to consist primarily of operating expenses.</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0000"/>
          <w:sz w:val="20"/>
        </w:rPr>
        <w:t>Cash Flows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following table sets forth our cash flows for the period indicated:</w:t>
      </w:r>
    </w:p>
    <w:p>
      <w:pPr>
        <w:pStyle w:val="TextBody"/>
        <w:bidi w:val="0"/>
        <w:jc w:val="both"/>
        <w:rPr/>
      </w:pPr>
      <w:r>
        <w:rPr/>
        <w:t> </w:t>
      </w:r>
    </w:p>
    <w:tbl>
      <w:tblPr>
        <w:tblW w:w="7970" w:type="dxa"/>
        <w:jc w:val="left"/>
        <w:tblInd w:w="0" w:type="dxa"/>
        <w:tblLayout w:type="fixed"/>
        <w:tblCellMar>
          <w:top w:w="28" w:type="dxa"/>
          <w:left w:w="28" w:type="dxa"/>
          <w:bottom w:w="28" w:type="dxa"/>
          <w:right w:w="28" w:type="dxa"/>
        </w:tblCellMar>
      </w:tblPr>
      <w:tblGrid>
        <w:gridCol w:w="4711"/>
        <w:gridCol w:w="229"/>
        <w:gridCol w:w="1041"/>
        <w:gridCol w:w="261"/>
        <w:gridCol w:w="229"/>
        <w:gridCol w:w="1088"/>
        <w:gridCol w:w="411"/>
      </w:tblGrid>
      <w:tr>
        <w:trPr/>
        <w:tc>
          <w:tcPr>
            <w:tcW w:w="47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Operating activities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Investing activities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(5,188</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Financing activities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125,713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 on cash and cash equivalents</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(33,184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96,166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i/>
          <w:color w:val="000000"/>
          <w:sz w:val="20"/>
        </w:rPr>
      </w:pPr>
      <w:r>
        <w:rPr>
          <w:rFonts w:ascii="Arial" w:hAnsi="Arial"/>
          <w:i/>
          <w:color w:val="000000"/>
          <w:sz w:val="20"/>
        </w:rPr>
        <w:t>Cash Flows Used in Operating Activities</w:t>
      </w:r>
    </w:p>
    <w:p>
      <w:pPr>
        <w:pStyle w:val="TextBody"/>
        <w:bidi w:val="0"/>
        <w:spacing w:before="120" w:after="283"/>
        <w:jc w:val="both"/>
        <w:rPr>
          <w:rFonts w:ascii="Times New Roman" w:hAnsi="Times New Roman"/>
          <w:sz w:val="20"/>
        </w:rPr>
      </w:pPr>
      <w:r>
        <w:rPr>
          <w:rFonts w:ascii="Arial" w:hAnsi="Arial"/>
          <w:color w:val="000000"/>
          <w:sz w:val="20"/>
        </w:rPr>
        <w:t>Net cash used in operating activities during the six months ended June 30, 2026 was EUR 50.0 million, resulting primarily from a net loss of EUR 74.9 million, adjusted for non-cash charges including depreciation and amortization of EUR 6.5 million and share-based compensation related expenses of EUR 8.8 million as well as finance costs of EUR 14.2 million. These were partially offset by changes in inventories of EUR 12.0 million, EUR 7.4 million in working capital adjustments and other non-cash items of EUR 0.1 million.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used in operating activities during the six months ended June 30, 2025 was EUR 27.5 million, resulting primarily from a net loss of EUR 34.6 million, adjusted for non-cash charges including depreciation and amortization of EUR 6.2 million. These were partially offset by changes in inventories of EUR 2.2 million, EUR 1.7 million in working capital adjustments and other non-cash items of EUR 0.3 million. Additional adjustments included EUR 2.3 million in share-based payments, and EUR 2.8 million in finance cost.</w:t>
      </w:r>
    </w:p>
    <w:p>
      <w:pPr>
        <w:pStyle w:val="TextBody"/>
        <w:bidi w:val="0"/>
        <w:spacing w:before="120" w:after="283"/>
        <w:jc w:val="both"/>
        <w:rPr>
          <w:rFonts w:ascii="Arial" w:hAnsi="Arial"/>
          <w:i/>
          <w:color w:val="000000"/>
          <w:sz w:val="20"/>
        </w:rPr>
      </w:pPr>
      <w:r>
        <w:rPr>
          <w:rFonts w:ascii="Arial" w:hAnsi="Arial"/>
          <w:i/>
          <w:color w:val="000000"/>
          <w:sz w:val="20"/>
        </w:rPr>
        <w:t>Cash Flows Used in Investing Activities</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during the six months ended June 30, 2026 was EUR 5.2 million representing additions of EUR 7.2 million in property and equipment primarily related to the development and upgrade of our quantum computing systems. This outflow was partially offset by interest received of EUR 1.0 million. In addition, during the six months ended June 30, 2026, an industrial system under development, which was presented within other current assets as of year-end due to our intention to sell the asset back to the supplier, was sold to the original supplier for EUR 1.0 million.</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during the six months ended June 30, 2025 was EUR 2.1 million, primarily due to purchases of property, plant, and equipment totaling EUR 2.7 million. This outflow was partially offset by interest received of EUR 0.6 million.</w:t>
      </w:r>
    </w:p>
    <w:p>
      <w:pPr>
        <w:pStyle w:val="TextBody"/>
        <w:bidi w:val="0"/>
        <w:spacing w:before="120" w:after="283"/>
        <w:jc w:val="both"/>
        <w:rPr>
          <w:rFonts w:ascii="Arial" w:hAnsi="Arial"/>
          <w:i/>
          <w:color w:val="000000"/>
          <w:sz w:val="20"/>
        </w:rPr>
      </w:pPr>
      <w:r>
        <w:rPr>
          <w:rFonts w:ascii="Arial" w:hAnsi="Arial"/>
          <w:i/>
          <w:color w:val="000000"/>
          <w:sz w:val="20"/>
        </w:rPr>
        <w:t>Cash Flows Provided by Financing Activities</w:t>
      </w:r>
    </w:p>
    <w:p>
      <w:pPr>
        <w:pStyle w:val="TextBody"/>
        <w:bidi w:val="0"/>
        <w:spacing w:before="120" w:after="283"/>
        <w:jc w:val="both"/>
        <w:rPr>
          <w:rFonts w:ascii="Arial" w:hAnsi="Arial"/>
          <w:color w:val="000000"/>
          <w:sz w:val="20"/>
        </w:rPr>
      </w:pPr>
      <w:r>
        <w:rPr>
          <w:rFonts w:ascii="Arial" w:hAnsi="Arial"/>
          <w:color w:val="000000"/>
          <w:sz w:val="20"/>
        </w:rPr>
        <w:t>Net cash provided by financing activities during the six months ended June 30, 2026 was EUR 22.0 million, primarily reflecting exercise of warrants of EUR 20.5 million and proceeds from loans and borrowings relating to the Kreos Loan agreement net of paid transaction costs of EUR 4.2 million. This inflow was partially offset by repayments of lease liabilities of EUR 1.3 million and interest paid of EUR 0.6 million.</w:t>
      </w:r>
    </w:p>
    <w:p>
      <w:pPr>
        <w:pStyle w:val="TextBody"/>
        <w:bidi w:val="0"/>
        <w:spacing w:before="120" w:after="283"/>
        <w:jc w:val="both"/>
        <w:rPr>
          <w:rFonts w:ascii="Arial" w:hAnsi="Arial"/>
          <w:color w:val="000000"/>
          <w:sz w:val="20"/>
        </w:rPr>
      </w:pPr>
      <w:r>
        <w:rPr>
          <w:rFonts w:ascii="Arial" w:hAnsi="Arial"/>
          <w:color w:val="000000"/>
          <w:sz w:val="20"/>
        </w:rPr>
        <w:t>Net cash provided by financing activities during the six months ended June 30, 2025 was EUR 125.7 million, primarily driven by proceeds from equity contribution of EUR 155.6 million and share buybacks of EUR 22.4 million. This inflow was partially offset by repayments of lease liabilities of EUR 1.9 million and interest paid of EUR 0.4 million.</w:t>
      </w:r>
    </w:p>
    <w:p>
      <w:pPr>
        <w:pStyle w:val="TextBody"/>
        <w:bidi w:val="0"/>
        <w:spacing w:before="120" w:after="283"/>
        <w:jc w:val="both"/>
        <w:rPr>
          <w:rFonts w:ascii="Arial" w:hAnsi="Arial"/>
          <w:b/>
          <w:color w:val="000000"/>
          <w:sz w:val="20"/>
        </w:rPr>
      </w:pPr>
      <w:r>
        <w:rPr>
          <w:rFonts w:ascii="Arial" w:hAnsi="Arial"/>
          <w:b/>
          <w:color w:val="000000"/>
          <w:sz w:val="20"/>
        </w:rPr>
        <w:t>Risk Factors</w:t>
      </w:r>
    </w:p>
    <w:p>
      <w:pPr>
        <w:pStyle w:val="TextBody"/>
        <w:bidi w:val="0"/>
        <w:spacing w:before="120" w:after="283"/>
        <w:jc w:val="both"/>
        <w:rPr>
          <w:rFonts w:ascii="Times New Roman" w:hAnsi="Times New Roman"/>
          <w:sz w:val="20"/>
        </w:rPr>
      </w:pPr>
      <w:r>
        <w:rPr>
          <w:rFonts w:ascii="Arial" w:hAnsi="Arial"/>
          <w:color w:val="000000"/>
          <w:sz w:val="20"/>
        </w:rPr>
        <w:t>IQM and its business are exposed to a number of risks and uncertainties which include but are not limited to:</w:t>
      </w:r>
      <w:r>
        <w:rPr>
          <w:rFonts w:ascii="Times New Roman" w:hAnsi="Times New Roman"/>
          <w:color w:val="000000"/>
          <w:sz w:val="20"/>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limited operating history and early stage of development, which make it difficult to forecast our future prospects and results of operations;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history of operating losses and expectation of continuing significant losses for the foreseeable future;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scale our business quickly enough to meet customer and market demand;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for additional capital to pursue our business objectives, and the availability of financing on acceptable terms, if at all;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of market opportunity and forecasts of market growth;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obtain, maintain and protect our intellectual property rights and the resulting competitive position;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difficulties in manufacturing or installing our quantum computing systems;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Competitive intensity in the global quantum computing industry and our ability to establish and maintain confidence in our long-term business prospects;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early-stage and volatile nature of the quantum computing industry, including the pace, direction and commercial adoption of its development;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Technical barriers to producing quantum computers with higher qubit counts and at high volume. </w:t>
      </w:r>
    </w:p>
    <w:p>
      <w:pPr>
        <w:pStyle w:val="TextBody"/>
        <w:bidi w:val="0"/>
        <w:spacing w:before="120" w:after="283"/>
        <w:jc w:val="both"/>
        <w:rPr>
          <w:rFonts w:ascii="Arial" w:hAnsi="Arial"/>
          <w:color w:val="000000"/>
          <w:sz w:val="20"/>
        </w:rPr>
      </w:pPr>
      <w:r>
        <w:rPr>
          <w:rFonts w:ascii="Arial" w:hAnsi="Arial"/>
          <w:color w:val="000000"/>
          <w:sz w:val="20"/>
        </w:rPr>
        <w:t>In addition to the risks set out above, we note that our full-year 2026 revenue outlook depends on two key factors: (i) the scheduled delivery and customer acceptance of our first 150-qubit system, and (ii) the conversion of our existing order backlog into revenue as planned. Any delay in the delivery or acceptance of the 150-qubit system, or in the conversion of our order backlog, could cause our results to differ materially from our guidance.</w:t>
      </w:r>
    </w:p>
    <w:p>
      <w:pPr>
        <w:pStyle w:val="TextBody"/>
        <w:bidi w:val="0"/>
        <w:spacing w:before="120" w:after="283"/>
        <w:jc w:val="both"/>
        <w:rPr>
          <w:rFonts w:ascii="Arial" w:hAnsi="Arial"/>
          <w:color w:val="000000"/>
          <w:sz w:val="20"/>
        </w:rPr>
      </w:pPr>
      <w:r>
        <w:rPr>
          <w:rFonts w:ascii="Arial" w:hAnsi="Arial"/>
          <w:color w:val="000000"/>
          <w:sz w:val="20"/>
        </w:rPr>
        <w:t>Other than as disclosed in this report, there have been no material changes to the risk factors specified under Risk Factors above, as well as those disclosed in the Company's listing prospectus published on 1 July 2026 and its Registration Statement on Form F-4, each as previously filed.</w:t>
      </w:r>
    </w:p>
    <w:p>
      <w:pPr>
        <w:pStyle w:val="TextBody"/>
        <w:bidi w:val="0"/>
        <w:spacing w:before="120" w:after="283"/>
        <w:jc w:val="both"/>
        <w:rPr>
          <w:rFonts w:ascii="Arial" w:hAnsi="Arial"/>
          <w:b/>
          <w:color w:val="000000"/>
          <w:sz w:val="20"/>
        </w:rPr>
      </w:pPr>
      <w:r>
        <w:rPr>
          <w:rFonts w:ascii="Arial" w:hAnsi="Arial"/>
          <w:b/>
          <w:color w:val="000000"/>
          <w:sz w:val="20"/>
        </w:rPr>
        <w:t>Critical Accounting Estimates</w:t>
      </w:r>
    </w:p>
    <w:p>
      <w:pPr>
        <w:pStyle w:val="TextBody"/>
        <w:bidi w:val="0"/>
        <w:spacing w:before="120" w:after="283"/>
        <w:jc w:val="both"/>
        <w:rPr>
          <w:rFonts w:ascii="Arial" w:hAnsi="Arial"/>
          <w:color w:val="000000"/>
          <w:sz w:val="20"/>
        </w:rPr>
      </w:pPr>
      <w:r>
        <w:rPr>
          <w:rFonts w:ascii="Arial" w:hAnsi="Arial"/>
          <w:color w:val="000000"/>
          <w:sz w:val="20"/>
        </w:rPr>
        <w:t>Our interim financial statements have been prepared in accordance with IFRS Accounting Standards.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otherwise could have a material impact on our financial position or results of operations.</w:t>
      </w:r>
    </w:p>
    <w:p>
      <w:pPr>
        <w:pStyle w:val="TextBody"/>
        <w:bidi w:val="0"/>
        <w:spacing w:before="120" w:after="283"/>
        <w:jc w:val="both"/>
        <w:rPr>
          <w:rFonts w:ascii="Arial" w:hAnsi="Arial"/>
          <w:color w:val="000000"/>
          <w:sz w:val="20"/>
        </w:rPr>
      </w:pPr>
      <w:r>
        <w:rPr>
          <w:rFonts w:ascii="Arial" w:hAnsi="Arial"/>
          <w:color w:val="000000"/>
          <w:sz w:val="20"/>
        </w:rPr>
        <w:t>The critical accounting estimates, assumptions and judgments that changed compared to the consolidated financial statements as of December 31, 2025 are listed hereinafter:</w:t>
      </w:r>
    </w:p>
    <w:p>
      <w:pPr>
        <w:pStyle w:val="TextBody"/>
        <w:bidi w:val="0"/>
        <w:spacing w:before="120" w:after="283"/>
        <w:jc w:val="both"/>
        <w:rPr>
          <w:rFonts w:ascii="Arial" w:hAnsi="Arial"/>
          <w:i/>
          <w:color w:val="000000"/>
          <w:sz w:val="20"/>
        </w:rPr>
      </w:pPr>
      <w:r>
        <w:rPr>
          <w:rFonts w:ascii="Arial" w:hAnsi="Arial"/>
          <w:i/>
          <w:color w:val="000000"/>
          <w:sz w:val="20"/>
        </w:rPr>
        <w:t>Embedded Derivatives – Conversion feature in Aalto Loan Agreement</w:t>
      </w:r>
    </w:p>
    <w:p>
      <w:pPr>
        <w:pStyle w:val="TextBody"/>
        <w:bidi w:val="0"/>
        <w:spacing w:before="120" w:after="283"/>
        <w:jc w:val="both"/>
        <w:rPr>
          <w:rFonts w:ascii="Arial" w:hAnsi="Arial"/>
          <w:color w:val="000000"/>
          <w:sz w:val="20"/>
        </w:rPr>
      </w:pPr>
      <w:r>
        <w:rPr>
          <w:rFonts w:ascii="Arial" w:hAnsi="Arial"/>
          <w:color w:val="000000"/>
          <w:sz w:val="20"/>
        </w:rPr>
        <w:t>The measurement of the embedded conversion feature requires the use of significant estimates and judgment. In particular, management is required to estimate the fair value of the Company's underlying equity, which is not directly observable in the market. The embedded conversion feature is measured at its intrinsic value, calculated as the excess of the estimated share price over the fixed conversion price of EUR 289.84 per share under the loan agreement; no time value is attributed to the conversion feature and no option-pricing model inputs, such as expected volatility, are applied. As of June 30, 2026, a share price of EUR 846.45 was applied in the valuation, and the embedded derivative was recognized with a carrying amount of EUR 15.1 million.</w:t>
      </w:r>
    </w:p>
    <w:p>
      <w:pPr>
        <w:pStyle w:val="TextBody"/>
        <w:bidi w:val="0"/>
        <w:spacing w:before="120" w:after="283"/>
        <w:jc w:val="both"/>
        <w:rPr>
          <w:rFonts w:ascii="Arial" w:hAnsi="Arial"/>
          <w:color w:val="000000"/>
          <w:sz w:val="20"/>
        </w:rPr>
      </w:pPr>
      <w:r>
        <w:rPr>
          <w:rFonts w:ascii="Arial" w:hAnsi="Arial"/>
          <w:color w:val="000000"/>
          <w:sz w:val="20"/>
        </w:rPr>
        <w:t>As of June 30, 2026 the Lender exercised the conversion option. The total carrying amount was reclassified directly in capital reserve.</w:t>
      </w:r>
    </w:p>
    <w:p>
      <w:pPr>
        <w:pStyle w:val="TextBody"/>
        <w:bidi w:val="0"/>
        <w:spacing w:before="120" w:after="283"/>
        <w:jc w:val="both"/>
        <w:rPr>
          <w:rFonts w:ascii="Arial" w:hAnsi="Arial"/>
          <w:i/>
          <w:color w:val="000000"/>
          <w:sz w:val="20"/>
        </w:rPr>
      </w:pPr>
      <w:r>
        <w:rPr>
          <w:rFonts w:ascii="Arial" w:hAnsi="Arial"/>
          <w:i/>
          <w:color w:val="000000"/>
          <w:sz w:val="20"/>
        </w:rPr>
        <w:t>Warrants – Kreos Capital Loan Agreement</w:t>
      </w:r>
    </w:p>
    <w:p>
      <w:pPr>
        <w:pStyle w:val="TextBody"/>
        <w:bidi w:val="0"/>
        <w:spacing w:before="120" w:after="283"/>
        <w:jc w:val="both"/>
        <w:rPr>
          <w:rFonts w:ascii="Arial" w:hAnsi="Arial"/>
          <w:color w:val="000000"/>
          <w:sz w:val="20"/>
        </w:rPr>
      </w:pPr>
      <w:r>
        <w:rPr>
          <w:rFonts w:ascii="Arial" w:hAnsi="Arial"/>
          <w:color w:val="000000"/>
          <w:sz w:val="20"/>
        </w:rPr>
        <w:t>The warrants issued in connection with the Kreos financing arrangement are classified as derivative financial liabilities and have been measured at fair value using the Black-Scholes option pricing model with the exception of the exercise of the warrants where the intrinsic value was used.</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w:t>
      </w:r>
    </w:p>
    <w:p>
      <w:pPr>
        <w:pStyle w:val="TextBody"/>
        <w:bidi w:val="0"/>
        <w:spacing w:before="120" w:after="283"/>
        <w:jc w:val="both"/>
        <w:rPr>
          <w:rFonts w:ascii="Arial" w:hAnsi="Arial"/>
          <w:b/>
          <w:color w:val="000000"/>
          <w:sz w:val="20"/>
        </w:rPr>
      </w:pPr>
      <w:r>
        <w:rPr>
          <w:rFonts w:ascii="Arial" w:hAnsi="Arial"/>
          <w:b/>
          <w:color w:val="000000"/>
          <w:sz w:val="20"/>
        </w:rPr>
        <w:t>Accounting Policies as a result of the pending transaction</w:t>
      </w:r>
    </w:p>
    <w:p>
      <w:pPr>
        <w:pStyle w:val="TextBody"/>
        <w:bidi w:val="0"/>
        <w:spacing w:before="120" w:after="283"/>
        <w:jc w:val="both"/>
        <w:rPr>
          <w:rFonts w:ascii="Arial" w:hAnsi="Arial"/>
          <w:color w:val="000000"/>
          <w:sz w:val="20"/>
        </w:rPr>
      </w:pPr>
      <w:r>
        <w:rPr>
          <w:rFonts w:ascii="Arial" w:hAnsi="Arial"/>
          <w:color w:val="000000"/>
          <w:sz w:val="20"/>
        </w:rPr>
        <w:t>The Business Combination closed in July 2026, immediately after the reporting date. The following section describes the expected future accounting implications of the transaction:</w:t>
      </w:r>
    </w:p>
    <w:p>
      <w:pPr>
        <w:pStyle w:val="TextBody"/>
        <w:bidi w:val="0"/>
        <w:spacing w:before="120" w:after="283"/>
        <w:jc w:val="both"/>
        <w:rPr>
          <w:rFonts w:ascii="Times New Roman" w:hAnsi="Times New Roman"/>
          <w:sz w:val="20"/>
        </w:rPr>
      </w:pPr>
      <w:r>
        <w:rPr>
          <w:rFonts w:ascii="Arial" w:hAnsi="Arial"/>
          <w:color w:val="000000"/>
          <w:sz w:val="20"/>
        </w:rPr>
        <w:t>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IQM has been determined to be the accounting acquirer based on evaluation of the following facts and circumstances with regard to the combined entity immediately after the Closing, applicable to both the “no redemption” and “contractual maximum redemption” scenarios: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Under all redemption scenarios, legacy IQM shareholders will have a majority of the voting interest in the combined entity.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Effective upon the Closing, the Board of the combined entity will consist of a majority of directors whom will be designees of IQM.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executive officers of IQM will become the initial executive officers of the combined entity.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Immediately after the Closing, the combined entity’s business will be the continued business of IQM, focusing on its core operations as a developer of superconducting quantum computers. IQM contributes the operating assets, employees, intellectual property, and commercial activities of the combined group.</w:t>
      </w:r>
    </w:p>
    <w:p>
      <w:pPr>
        <w:pStyle w:val="TextBody"/>
        <w:bidi w:val="0"/>
        <w:spacing w:before="120" w:after="283"/>
        <w:jc w:val="both"/>
        <w:rPr>
          <w:rFonts w:ascii="Arial" w:hAnsi="Arial"/>
          <w:color w:val="000000"/>
          <w:sz w:val="20"/>
        </w:rPr>
      </w:pPr>
      <w:r>
        <w:rPr>
          <w:rFonts w:ascii="Arial" w:hAnsi="Arial"/>
          <w:color w:val="000000"/>
          <w:sz w:val="20"/>
        </w:rPr>
        <w:t>It has been determined that RAAQ does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w:t>
      </w:r>
    </w:p>
    <w:p>
      <w:pPr>
        <w:pStyle w:val="TextBody"/>
        <w:bidi w:val="0"/>
        <w:spacing w:before="120" w:after="283"/>
        <w:jc w:val="both"/>
        <w:rPr>
          <w:rFonts w:ascii="Arial" w:hAnsi="Arial"/>
          <w:b/>
          <w:color w:val="000000"/>
          <w:sz w:val="20"/>
        </w:rPr>
      </w:pPr>
      <w:r>
        <w:rPr>
          <w:rFonts w:ascii="Arial" w:hAnsi="Arial"/>
          <w:b/>
          <w:color w:val="000000"/>
          <w:sz w:val="20"/>
        </w:rPr>
        <w:t>Emerging Growth Company Status</w:t>
      </w:r>
    </w:p>
    <w:p>
      <w:pPr>
        <w:pStyle w:val="TextBody"/>
        <w:bidi w:val="0"/>
        <w:spacing w:before="120" w:after="283"/>
        <w:jc w:val="both"/>
        <w:rPr>
          <w:rFonts w:ascii="Arial" w:hAnsi="Arial"/>
          <w:color w:val="000000"/>
          <w:sz w:val="20"/>
        </w:rPr>
      </w:pPr>
      <w:r>
        <w:rPr>
          <w:rFonts w:ascii="Arial" w:hAnsi="Arial"/>
          <w:color w:val="000000"/>
          <w:sz w:val="20"/>
        </w:rPr>
        <w:t>In connection with our listing in the United States, we qualify as an “emerging growth company” under applicable U.S. federal securities laws and may therefore benefit from certain reduced reporting and disclosure requirements.</w:t>
      </w:r>
    </w:p>
    <w:p>
      <w:pPr>
        <w:pStyle w:val="TextBody"/>
        <w:bidi w:val="0"/>
        <w:spacing w:before="12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and for so long as we are an emerging growth company, we may take advantage of certain reduced disclosure and other requirements that are otherwise applicable generally to public companies that are not public companies, including not being required to comply with the auditor attestation requirements of Section 404 of the Sarbanes-Oxley Act of 2002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would cease to be an emerging growth company on the date that is the earliest of (i) the last day of the fiscal year following the fifth anniversary of the date of the completion of this offering; (ii) the last day of the fiscal year in which we have total annual gross revenue of $1.235 billion or more; (iii) the date on which we have, in any three year period, issued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more than $1.0 billion in nonconvertible debt securities; or (iv) the date on which we first qualify as a large accelerated filer under the rules of the Securities and Exchange Commission.</w:t>
      </w:r>
    </w:p>
    <w:p>
      <w:pPr>
        <w:pStyle w:val="TextBody"/>
        <w:bidi w:val="0"/>
        <w:spacing w:before="120" w:after="283"/>
        <w:jc w:val="both"/>
        <w:rPr>
          <w:rFonts w:ascii="Times New Roman" w:hAnsi="Times New Roman"/>
          <w:sz w:val="20"/>
        </w:rPr>
      </w:pPr>
      <w:r>
        <w:rPr>
          <w:rFonts w:ascii="Arial" w:hAnsi="Arial"/>
          <w:b/>
          <w:color w:val="000000"/>
          <w:sz w:val="20"/>
        </w:rPr>
        <w:t>Annual General Meeting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Annual General Meeting (AGM) of shareholders of IQM Quantum Computers Oyj was held on June 12, 2026 in Espoo. The following resolutions were among the resolutions made:</w:t>
      </w:r>
    </w:p>
    <w:p>
      <w:pPr>
        <w:pStyle w:val="TextBody"/>
        <w:bidi w:val="0"/>
        <w:spacing w:before="120" w:after="283"/>
        <w:jc w:val="both"/>
        <w:rPr>
          <w:rFonts w:ascii="Arial" w:hAnsi="Arial"/>
          <w:color w:val="000000"/>
          <w:sz w:val="20"/>
        </w:rPr>
      </w:pPr>
      <w:r>
        <w:rPr>
          <w:rFonts w:ascii="Arial" w:hAnsi="Arial"/>
          <w:color w:val="000000"/>
          <w:sz w:val="20"/>
        </w:rPr>
        <w:t>The financial statements for 2025 were approved and the members of the Board and the President and CEO were discharged from liability for the year 2025.</w:t>
      </w:r>
    </w:p>
    <w:p>
      <w:pPr>
        <w:pStyle w:val="TextBody"/>
        <w:bidi w:val="0"/>
        <w:spacing w:before="120" w:after="283"/>
        <w:jc w:val="both"/>
        <w:rPr>
          <w:rFonts w:ascii="Arial" w:hAnsi="Arial"/>
          <w:color w:val="000000"/>
          <w:sz w:val="20"/>
        </w:rPr>
      </w:pPr>
      <w:r>
        <w:rPr>
          <w:rFonts w:ascii="Arial" w:hAnsi="Arial"/>
          <w:color w:val="000000"/>
          <w:sz w:val="20"/>
        </w:rPr>
        <w:t>The AGM approved that no dividend would be paid for the financial year ended December 31, 2025, and that the loss for the financial year be transferred to retained earnings.</w:t>
      </w:r>
    </w:p>
    <w:p>
      <w:pPr>
        <w:pStyle w:val="TextBody"/>
        <w:bidi w:val="0"/>
        <w:spacing w:before="120" w:after="283"/>
        <w:jc w:val="both"/>
        <w:rPr>
          <w:rFonts w:ascii="Arial" w:hAnsi="Arial"/>
          <w:color w:val="000000"/>
          <w:sz w:val="20"/>
        </w:rPr>
      </w:pPr>
      <w:r>
        <w:rPr>
          <w:rFonts w:ascii="Arial" w:hAnsi="Arial"/>
          <w:color w:val="000000"/>
          <w:sz w:val="20"/>
        </w:rPr>
        <w:t>The AGM resolved that conditional upon the completion of the listing of the company’s American Depositary Shares on The Nasdaq Stock Market LLC, a total annual remuneration of EUR 380,000 be paid to certain members of the Board of Directors in the form of shares.</w:t>
      </w:r>
    </w:p>
    <w:p>
      <w:pPr>
        <w:pStyle w:val="TextBody"/>
        <w:bidi w:val="0"/>
        <w:spacing w:before="120" w:after="283"/>
        <w:jc w:val="both"/>
        <w:rPr>
          <w:rFonts w:ascii="Arial" w:hAnsi="Arial"/>
          <w:color w:val="000000"/>
          <w:sz w:val="20"/>
        </w:rPr>
      </w:pPr>
      <w:r>
        <w:rPr>
          <w:rFonts w:ascii="Arial" w:hAnsi="Arial"/>
          <w:color w:val="000000"/>
          <w:sz w:val="20"/>
        </w:rPr>
        <w:t>Sierk Poetting, Alex Doll and Hannu Martola were re-elected and Jan Goetz and Barbara Venneman were elected as members of the Board of Directors. Sierk Poetting was re-elected as Chair of the Board.</w:t>
      </w:r>
    </w:p>
    <w:p>
      <w:pPr>
        <w:pStyle w:val="TextBody"/>
        <w:bidi w:val="0"/>
        <w:spacing w:before="120" w:after="283"/>
        <w:jc w:val="both"/>
        <w:rPr>
          <w:rFonts w:ascii="Arial" w:hAnsi="Arial"/>
          <w:color w:val="000000"/>
          <w:sz w:val="20"/>
        </w:rPr>
      </w:pPr>
      <w:r>
        <w:rPr>
          <w:rFonts w:ascii="Arial" w:hAnsi="Arial"/>
          <w:color w:val="000000"/>
          <w:sz w:val="20"/>
        </w:rPr>
        <w:t>The AGM resolved that, conditional upon and effective as of the completion of the business combination, the company’s business name be changed to IQM Quantum Computers Oyj and, in English, IQM Quantum Computers Plc.</w:t>
      </w:r>
    </w:p>
    <w:p>
      <w:pPr>
        <w:pStyle w:val="TextBody"/>
        <w:bidi w:val="0"/>
        <w:spacing w:before="120" w:after="283"/>
        <w:jc w:val="both"/>
        <w:rPr>
          <w:rFonts w:ascii="Arial" w:hAnsi="Arial"/>
          <w:b/>
          <w:color w:val="000000"/>
          <w:sz w:val="20"/>
        </w:rPr>
      </w:pPr>
      <w:r>
        <w:rPr>
          <w:rFonts w:ascii="Arial" w:hAnsi="Arial"/>
          <w:b/>
          <w:color w:val="000000"/>
          <w:sz w:val="20"/>
        </w:rPr>
        <w:t>Personnel</w:t>
      </w:r>
    </w:p>
    <w:p>
      <w:pPr>
        <w:pStyle w:val="TextBody"/>
        <w:bidi w:val="0"/>
        <w:spacing w:before="120" w:after="283"/>
        <w:jc w:val="both"/>
        <w:rPr>
          <w:rFonts w:ascii="Arial" w:hAnsi="Arial"/>
          <w:color w:val="000000"/>
          <w:sz w:val="20"/>
        </w:rPr>
      </w:pPr>
      <w:r>
        <w:rPr>
          <w:rFonts w:ascii="Arial" w:hAnsi="Arial"/>
          <w:color w:val="000000"/>
          <w:sz w:val="20"/>
        </w:rPr>
        <w:t>As of June 30, 2026, we had 460 employees globally. Of these, 333 employees were based in Finland, representing the majority of our workforce. A further 117 employees were located in other European countries, including 104 employees in Germany and employees in France, Spain, Italy and Poland. We also employed eight employees in the United States and two employees in APAC, comprising one employee in Singapore and one employee in Japan.</w:t>
      </w:r>
    </w:p>
    <w:p>
      <w:pPr>
        <w:pStyle w:val="TextBody"/>
        <w:bidi w:val="0"/>
        <w:spacing w:before="120" w:after="283"/>
        <w:jc w:val="both"/>
        <w:rPr>
          <w:rFonts w:ascii="Arial" w:hAnsi="Arial"/>
          <w:b/>
          <w:color w:val="000000"/>
          <w:sz w:val="20"/>
        </w:rPr>
      </w:pPr>
      <w:r>
        <w:rPr>
          <w:rFonts w:ascii="Arial" w:hAnsi="Arial"/>
          <w:b/>
          <w:color w:val="000000"/>
          <w:sz w:val="20"/>
        </w:rPr>
        <w:t>Changes in Management and Board of Directors</w:t>
      </w:r>
    </w:p>
    <w:p>
      <w:pPr>
        <w:pStyle w:val="TextBody"/>
        <w:bidi w:val="0"/>
        <w:spacing w:before="120" w:after="283"/>
        <w:jc w:val="both"/>
        <w:rPr>
          <w:rFonts w:ascii="Arial" w:hAnsi="Arial"/>
          <w:color w:val="000000"/>
          <w:sz w:val="20"/>
        </w:rPr>
      </w:pPr>
      <w:r>
        <w:rPr>
          <w:rFonts w:ascii="Arial" w:hAnsi="Arial"/>
          <w:color w:val="000000"/>
          <w:sz w:val="20"/>
        </w:rPr>
        <w:t>In the six months ended June 30, 2026, IQM announced the following changes in its management:</w:t>
      </w:r>
    </w:p>
    <w:p>
      <w:pPr>
        <w:pStyle w:val="TextBody"/>
        <w:bidi w:val="0"/>
        <w:spacing w:before="120" w:after="283"/>
        <w:jc w:val="both"/>
        <w:rPr>
          <w:rFonts w:ascii="Arial" w:hAnsi="Arial"/>
          <w:color w:val="000000"/>
          <w:sz w:val="20"/>
        </w:rPr>
      </w:pPr>
      <w:r>
        <w:rPr>
          <w:rFonts w:ascii="Arial" w:hAnsi="Arial"/>
          <w:color w:val="000000"/>
          <w:sz w:val="20"/>
        </w:rPr>
        <w:t>On January 26, 2026, IQM announced its transition from a Co-CEO structure to a single Chief Executive Officer model. Dr. Jan Goetz, previously Co-CEO, became IQM’s sole CEO with effect from January 1, 2026. In addition, Dr. Søren Hein was appointed Chief Operating Officer and Deputy CEO. Mikko Välimäki stepped down from his role as Co-CEO and continued to support IQM as an advisor until March 31, 2026, to facilitate an orderly transition.</w:t>
      </w:r>
    </w:p>
    <w:p>
      <w:pPr>
        <w:pStyle w:val="TextBody"/>
        <w:bidi w:val="0"/>
        <w:spacing w:before="120" w:after="283"/>
        <w:jc w:val="both"/>
        <w:rPr>
          <w:rFonts w:ascii="Arial" w:hAnsi="Arial"/>
          <w:color w:val="000000"/>
          <w:sz w:val="20"/>
        </w:rPr>
      </w:pPr>
      <w:r>
        <w:rPr>
          <w:rFonts w:ascii="Arial" w:hAnsi="Arial"/>
          <w:color w:val="000000"/>
          <w:sz w:val="20"/>
        </w:rPr>
        <w:t>On June 19, 2026, IQM announced the appointment of Dr. Craig Ciesla as Chief Technology Officer. In this role, he is responsible for advancing IQM’s technology strategy and its implementation across the company’s systems and products. At the same time, Dr. Inés de Vega was appointed Chief Scientist, transitioning from her previous role as Vice President of Quantum Solutions. In her new role, she is responsible for ensuring scientific feasibility and system-level consistency across IQM’s technology.</w:t>
      </w:r>
    </w:p>
    <w:p>
      <w:pPr>
        <w:pStyle w:val="TextBody"/>
        <w:bidi w:val="0"/>
        <w:spacing w:before="120" w:after="283"/>
        <w:jc w:val="both"/>
        <w:rPr>
          <w:rFonts w:ascii="Times New Roman" w:hAnsi="Times New Roman"/>
          <w:sz w:val="20"/>
        </w:rPr>
      </w:pPr>
      <w:r>
        <w:rPr>
          <w:rFonts w:ascii="Arial" w:hAnsi="Arial"/>
          <w:color w:val="000000"/>
          <w:sz w:val="20"/>
        </w:rPr>
        <w:t>Following the annual general meeting on June 12, 2026 the Board of Directors consisted of Sierk Poetting (Chairman), COO of Nasdaq-listed BioNTech; Alex Doll, co-founder of PGP Corporation and Managing Partner at 1011 VC; Dr. Jan Goetz, Co-founder and CEO of IQM; Hannu Martola, President and CEO of Detection Technology and Barbara Venneman, former Global Head of IT at Deloitte and a board member at Vanguard. Following the listing July 2, 2026, Juho Sarvikas, CEO of Nasdaq-listed Inseego and former President of Qualcomm North America and Jeff Tuder, an experienced investor and board professional joined the Board.</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Changes in Shares and shareholders</w:t>
      </w:r>
    </w:p>
    <w:p>
      <w:pPr>
        <w:pStyle w:val="TextBody"/>
        <w:bidi w:val="0"/>
        <w:spacing w:before="120" w:after="283"/>
        <w:jc w:val="both"/>
        <w:rPr>
          <w:rFonts w:ascii="Arial" w:hAnsi="Arial"/>
          <w:color w:val="000000"/>
          <w:sz w:val="20"/>
        </w:rPr>
      </w:pPr>
      <w:r>
        <w:rPr>
          <w:rFonts w:ascii="Arial" w:hAnsi="Arial"/>
          <w:color w:val="000000"/>
          <w:sz w:val="20"/>
        </w:rPr>
        <w:t>During the six months ended June 30, 2026, our share capital structure changed significantly in connection with the Business Combination and the related capital restructuring described above under Business Combination Transaction and Helsinki Stock Exchange Listing.</w:t>
      </w:r>
    </w:p>
    <w:p>
      <w:pPr>
        <w:pStyle w:val="TextBody"/>
        <w:bidi w:val="0"/>
        <w:spacing w:before="120" w:after="283"/>
        <w:jc w:val="both"/>
        <w:rPr>
          <w:rFonts w:ascii="Times New Roman" w:hAnsi="Times New Roman"/>
          <w:sz w:val="20"/>
        </w:rPr>
      </w:pPr>
      <w:r>
        <w:rPr>
          <w:rFonts w:ascii="Arial" w:hAnsi="Arial"/>
          <w:color w:val="000000"/>
          <w:sz w:val="20"/>
        </w:rPr>
        <w:t>At the beginning of the reporting period, our issued share capital consisted of 1,586,301 shares across five classes: Class A, Class B, Class C, Class D and Class E shares. During the three months ended June 30, 2026, Aalto University Foundation exercised special subscription rights granted to it and subscribed for 27,208 new</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Class A shares at a subscription price of EUR 289.84 per share, for an aggregate subscription price of EUR 7.9 million. The subscription price was settled in full by way of set-off against Aalto University Foundation's claim under its convertible loan agreement with us, and the related host liability and embedded conversion derivative were derecognized upon conversion. Separately, holders of outstanding warrants relating to our Class E shares exercised warrants for 43,092 new Class E at an average subscription price of EUR 474.86 per share, for aggregate subscription proceeds of EUR 20.5 million.</w:t>
      </w:r>
    </w:p>
    <w:p>
      <w:pPr>
        <w:pStyle w:val="TextBody"/>
        <w:bidi w:val="0"/>
        <w:spacing w:before="120" w:after="283"/>
        <w:jc w:val="both"/>
        <w:rPr>
          <w:rFonts w:ascii="Arial" w:hAnsi="Arial"/>
          <w:color w:val="000000"/>
          <w:sz w:val="20"/>
        </w:rPr>
      </w:pPr>
      <w:r>
        <w:rPr>
          <w:rFonts w:ascii="Arial" w:hAnsi="Arial"/>
          <w:color w:val="000000"/>
          <w:sz w:val="20"/>
        </w:rPr>
        <w:t>On June 30, 2026, prior to the closing of the Business Combination, all outstanding preferred shares - Class B, Class C, Class D and Class E - were converted into our ordinary (Class A) shares on a one-for-one basis. Our Board of Directors subsequently resolved to carry out a share split at a ratio of 96.44-for-1 (96.439869), in order to align our per-share price with the USD 10.00 reference price used for the share issuances made in connection with the Business Combination. In addition, we recognized 102,700,000 shares as treasury shares issued to ourselves; these treasury shares do not carry dividend or voting rights until conveyed to third parties. As a result of these transactions, we had 262,462,360 issued ordinary shares of a single class outstanding as of June 30, 2026, of which 102,700,000 were held in treasury, compared with 1,334,753 shares outstanding as of June 30, 2025 (see Note 6).</w:t>
      </w:r>
    </w:p>
    <w:p>
      <w:pPr>
        <w:pStyle w:val="TextBody"/>
        <w:bidi w:val="0"/>
        <w:spacing w:before="120" w:after="283"/>
        <w:jc w:val="both"/>
        <w:rPr>
          <w:rFonts w:ascii="Arial" w:hAnsi="Arial"/>
          <w:color w:val="000000"/>
          <w:sz w:val="20"/>
        </w:rPr>
      </w:pPr>
      <w:r>
        <w:rPr>
          <w:rFonts w:ascii="Arial" w:hAnsi="Arial"/>
          <w:color w:val="000000"/>
          <w:sz w:val="20"/>
        </w:rPr>
        <w:t>Because the conversion, share split and recognition of treasury shares described above closed only in the final days of the reporting period and immediately ahead of the Business Combination, they had only a limited effect on the weighted average number of shares used in our basic and diluted loss per share calculation for the six months ended June 30, 2026 (see Note 4.4).</w:t>
      </w:r>
    </w:p>
    <w:p>
      <w:pPr>
        <w:pStyle w:val="TextBody"/>
        <w:bidi w:val="0"/>
        <w:spacing w:before="120" w:after="283"/>
        <w:jc w:val="both"/>
        <w:rPr>
          <w:rFonts w:ascii="Arial" w:hAnsi="Arial"/>
          <w:color w:val="000000"/>
          <w:sz w:val="20"/>
        </w:rPr>
      </w:pPr>
      <w:r>
        <w:rPr>
          <w:rFonts w:ascii="Arial" w:hAnsi="Arial"/>
          <w:color w:val="000000"/>
          <w:sz w:val="20"/>
        </w:rPr>
        <w:t>In connection with the change of our legal form from a private limited liability company (osakeyhtiö) to a public limited liability company (julkinen osakeyhtiö, or "Oyj") before completion of the Business Combination, we increased our registered share capital by EUR 77,500, from EUR 2,500 to EUR 80,000, the minimum share capital required under the Finnish Companies Act for a public limited liability company. This increase was implemented as a transfer from our reserve for invested unrestricted equity and, consistent with Finnish company law, did not involve the issuance of new shares: our shares do not carry a nominal or par value, and our registered share capital is not tied to the number of shares outstanding.</w:t>
      </w:r>
    </w:p>
    <w:p>
      <w:pPr>
        <w:pStyle w:val="TextBody"/>
        <w:bidi w:val="0"/>
        <w:spacing w:before="120" w:after="283"/>
        <w:jc w:val="both"/>
        <w:rPr>
          <w:rFonts w:ascii="Arial" w:hAnsi="Arial"/>
          <w:color w:val="000000"/>
          <w:sz w:val="20"/>
        </w:rPr>
      </w:pPr>
      <w:r>
        <w:rPr>
          <w:rFonts w:ascii="Arial" w:hAnsi="Arial"/>
          <w:color w:val="000000"/>
          <w:sz w:val="20"/>
        </w:rPr>
        <w:t>On February 27, 2026, our shareholders unanimously resolved, without convening a general meeting and conditional upon completion of the Business Combination, to authorize our Board of Directors to repurchase up to 25,000,000 of our own shares in one or more tranches, using only unrestricted equity. This authorization became effective upon closing of the Business Combination on July 1, 2026 and is valid for 18 months, until August 27, 2027.</w:t>
      </w:r>
    </w:p>
    <w:p>
      <w:pPr>
        <w:pStyle w:val="TextBody"/>
        <w:bidi w:val="0"/>
        <w:spacing w:before="120" w:after="283"/>
        <w:jc w:val="both"/>
        <w:rPr>
          <w:rFonts w:ascii="Arial" w:hAnsi="Arial"/>
          <w:color w:val="000000"/>
          <w:sz w:val="20"/>
        </w:rPr>
      </w:pPr>
      <w:r>
        <w:rPr>
          <w:rFonts w:ascii="Arial" w:hAnsi="Arial"/>
          <w:color w:val="000000"/>
          <w:sz w:val="20"/>
        </w:rPr>
        <w:t>At our Annual General Meeting held on June 12, 2026, our shareholders further resolved to increase our Board of Directors' existing authorization to issue new shares and/or convey treasury shares, and to issue special rights entitling their holders to shares under Chapter 10, Section 1 of the Finnish Companies Act, from a maximum of 37,000,000 shares to a maximum of 95,500,000 shares. This authorization may be used for share-based incentive programs, corporate acquisitions, and other purposes determined by our Board of Directors, including issuances in derogation of shareholders' pre-emptive subscription rights where we have a weighty financial reason to do so, and is valid for five years, until June 12, 2031.</w:t>
      </w:r>
    </w:p>
    <w:p>
      <w:pPr>
        <w:pStyle w:val="TextBody"/>
        <w:bidi w:val="0"/>
        <w:spacing w:before="120" w:after="283"/>
        <w:jc w:val="both"/>
        <w:rPr>
          <w:rFonts w:ascii="Arial" w:hAnsi="Arial"/>
          <w:color w:val="000000"/>
          <w:sz w:val="20"/>
        </w:rPr>
      </w:pPr>
      <w:r>
        <w:rPr>
          <w:rFonts w:ascii="Arial" w:hAnsi="Arial"/>
          <w:color w:val="000000"/>
          <w:sz w:val="20"/>
        </w:rPr>
        <w:t>Subsequent to the reporting period, on July 1, 2026, we completed the Business Combination and received total gross proceeds of approximately EUR 209.5 million in exchange for the issuance of 28,929,747 treasury shares to former RAAQ investors and PIPE investors. Our American Depositary Shares commenced trading on the Nasdaq Global Select Market under the ticker symbol "IQMX" on July 2, 2026, and our ordinary shares commenced trading on the regulated market of Nasdaq Helsinki Ltd on July 3, 2026 (see Note 12). On July 6, 2026, Kreos exercised in full, on a cashless basis, the warrants granted to it under the Warrant Agreement dated December 23, 2025, resulting in the issuance of 577,237 additional shares; no warrants remained outstanding as of the date of this report.</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our shares were not admitted to trading on any regulated market during the six months ended June 30, 2026, no share price, trading volume, market capitalization or shareholder count information is presented for the reporting period.</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Espoo, Finland, August 4, 2026</w:t>
      </w:r>
    </w:p>
    <w:p>
      <w:pPr>
        <w:pStyle w:val="TextBody"/>
        <w:bidi w:val="0"/>
        <w:jc w:val="both"/>
        <w:rPr>
          <w:rFonts w:ascii="Arial" w:hAnsi="Arial"/>
          <w:color w:val="000000"/>
          <w:sz w:val="20"/>
        </w:rPr>
      </w:pPr>
      <w:r>
        <w:rPr>
          <w:rFonts w:ascii="Arial" w:hAnsi="Arial"/>
          <w:color w:val="000000"/>
          <w:sz w:val="20"/>
        </w:rPr>
        <w:t>IQM Quantum Computer Qyj</w:t>
      </w:r>
    </w:p>
    <w:p>
      <w:pPr>
        <w:pStyle w:val="TextBody"/>
        <w:bidi w:val="0"/>
        <w:jc w:val="both"/>
        <w:rPr>
          <w:rFonts w:ascii="Arial" w:hAnsi="Arial"/>
          <w:color w:val="000000"/>
          <w:sz w:val="20"/>
        </w:rPr>
      </w:pPr>
      <w:r>
        <w:rPr>
          <w:rFonts w:ascii="Arial" w:hAnsi="Arial"/>
          <w:color w:val="000000"/>
          <w:sz w:val="20"/>
        </w:rPr>
        <w:t>Board of Directors</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I.</w:t>
      </w:r>
    </w:p>
    <w:p>
      <w:pPr>
        <w:pStyle w:val="TextBody"/>
        <w:bidi w:val="0"/>
        <w:jc w:val="left"/>
        <w:rPr>
          <w:rFonts w:ascii="Arial" w:hAnsi="Arial"/>
          <w:b/>
          <w:color w:val="000000"/>
          <w:sz w:val="40"/>
        </w:rPr>
      </w:pPr>
      <w:r>
        <w:rPr>
          <w:rFonts w:ascii="Arial" w:hAnsi="Arial"/>
          <w:b/>
          <w:color w:val="000000"/>
          <w:sz w:val="40"/>
        </w:rPr>
        <w:t>Unaudited interim condensed consolidated statement of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7"/>
        <w:gridCol w:w="541"/>
        <w:gridCol w:w="205"/>
        <w:gridCol w:w="931"/>
        <w:gridCol w:w="233"/>
        <w:gridCol w:w="205"/>
        <w:gridCol w:w="931"/>
        <w:gridCol w:w="166"/>
        <w:gridCol w:w="196"/>
        <w:gridCol w:w="892"/>
        <w:gridCol w:w="223"/>
        <w:gridCol w:w="196"/>
        <w:gridCol w:w="892"/>
        <w:gridCol w:w="217"/>
      </w:tblGrid>
      <w:tr>
        <w:trPr/>
        <w:tc>
          <w:tcPr>
            <w:tcW w:w="43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3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11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0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 from contracts with customers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8,870</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Gross profit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3,060</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2,075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3,604</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2,407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expenses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(7,049</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 expenses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(26,201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expenses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(16,285</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(11,813</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(34,047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(25,650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losses (including reversals of impairment losses) on financial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loss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(30,895</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(14,968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(60,537</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(31,635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income</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costs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(19,400</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before income tax</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(36,532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(14,948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(74,871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(34,516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Attributable to:</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holders of the parent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(36,554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(74,897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(34,575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per share (in EUR) attributable to the ordinary equity holders of the company:</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4.5</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 earnings per share</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 earnings per share</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II.</w:t>
      </w:r>
    </w:p>
    <w:p>
      <w:pPr>
        <w:pStyle w:val="TextBody"/>
        <w:bidi w:val="0"/>
        <w:jc w:val="left"/>
        <w:rPr>
          <w:rFonts w:ascii="Arial" w:hAnsi="Arial"/>
          <w:b/>
          <w:color w:val="000000"/>
          <w:sz w:val="40"/>
        </w:rPr>
      </w:pPr>
      <w:r>
        <w:rPr>
          <w:rFonts w:ascii="Arial" w:hAnsi="Arial"/>
          <w:b/>
          <w:color w:val="000000"/>
          <w:sz w:val="40"/>
        </w:rPr>
        <w:t>Unaudited interim condensed consolidated statement of comprehensive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5"/>
        <w:gridCol w:w="541"/>
        <w:gridCol w:w="199"/>
        <w:gridCol w:w="905"/>
        <w:gridCol w:w="227"/>
        <w:gridCol w:w="199"/>
        <w:gridCol w:w="905"/>
        <w:gridCol w:w="166"/>
        <w:gridCol w:w="191"/>
        <w:gridCol w:w="870"/>
        <w:gridCol w:w="218"/>
        <w:gridCol w:w="191"/>
        <w:gridCol w:w="870"/>
        <w:gridCol w:w="218"/>
      </w:tblGrid>
      <w:tr>
        <w:trPr/>
        <w:tc>
          <w:tcPr>
            <w:tcW w:w="450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11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0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comprehensive income</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Items, that might be reclassified into consolidated statement of loss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Currency translation of foreign subsidiaries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Items, that will not be reclassified into consolidated statement of loss (net of deferred tax)</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Remeasurements of defined benefit plans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comprehensive income for the period, net of deferred tax</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loss for the period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(36,565</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(15,001</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(74,920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(34,593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4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Attributable to:</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holders of the parent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(36,565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III.</w:t>
      </w:r>
    </w:p>
    <w:p>
      <w:pPr>
        <w:pStyle w:val="TextBody"/>
        <w:bidi w:val="0"/>
        <w:jc w:val="left"/>
        <w:rPr>
          <w:rFonts w:ascii="Arial" w:hAnsi="Arial"/>
          <w:b/>
          <w:color w:val="000000"/>
          <w:sz w:val="40"/>
        </w:rPr>
      </w:pPr>
      <w:r>
        <w:rPr>
          <w:rFonts w:ascii="Arial" w:hAnsi="Arial"/>
          <w:b/>
          <w:color w:val="000000"/>
          <w:sz w:val="40"/>
        </w:rPr>
        <w:t>Interim condensed consolidated statement of financial position</w:t>
      </w:r>
    </w:p>
    <w:p>
      <w:pPr>
        <w:pStyle w:val="TextBody"/>
        <w:bidi w:val="0"/>
        <w:jc w:val="left"/>
        <w:rPr/>
      </w:pPr>
      <w:r>
        <w:rPr/>
        <w:t> </w:t>
      </w:r>
    </w:p>
    <w:tbl>
      <w:tblPr>
        <w:tblW w:w="5959" w:type="dxa"/>
        <w:jc w:val="left"/>
        <w:tblInd w:w="0" w:type="dxa"/>
        <w:tblLayout w:type="fixed"/>
        <w:tblCellMar>
          <w:top w:w="28" w:type="dxa"/>
          <w:left w:w="28" w:type="dxa"/>
          <w:bottom w:w="28" w:type="dxa"/>
          <w:right w:w="28" w:type="dxa"/>
        </w:tblCellMar>
      </w:tblPr>
      <w:tblGrid>
        <w:gridCol w:w="2296"/>
        <w:gridCol w:w="541"/>
        <w:gridCol w:w="190"/>
        <w:gridCol w:w="980"/>
        <w:gridCol w:w="166"/>
        <w:gridCol w:w="255"/>
        <w:gridCol w:w="1320"/>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Non-current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Right-of-use assets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non-current assets</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center"/>
              <w:rPr/>
            </w:pPr>
            <w:r>
              <w:rPr/>
              <w:t> </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73,630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70,710</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receivables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financial assets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assets</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center"/>
              <w:rPr/>
            </w:pPr>
            <w:r>
              <w:rPr/>
              <w:t> </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180,089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194,903</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assets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253,719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265,613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 and liabilities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capital</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reserves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reserves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205,900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Non-current liabilities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Loans and borrowings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benefits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non-current liabilities</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center"/>
              <w:rPr/>
            </w:pPr>
            <w:r>
              <w:rPr/>
              <w:t> </w:t>
            </w:r>
          </w:p>
        </w:tc>
        <w:tc>
          <w:tcPr>
            <w:tcW w:w="1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13,480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21,420</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liabilities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payables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Loans and borrowings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liabilities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benefits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liabilities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57,817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38,292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 and liabilities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253,719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265,613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IV.</w:t>
      </w:r>
    </w:p>
    <w:p>
      <w:pPr>
        <w:pStyle w:val="TextBody"/>
        <w:bidi w:val="0"/>
        <w:jc w:val="left"/>
        <w:rPr>
          <w:rFonts w:ascii="Arial" w:hAnsi="Arial"/>
          <w:b/>
          <w:color w:val="000000"/>
          <w:sz w:val="40"/>
        </w:rPr>
      </w:pPr>
      <w:r>
        <w:rPr>
          <w:rFonts w:ascii="Arial" w:hAnsi="Arial"/>
          <w:b/>
          <w:color w:val="000000"/>
          <w:sz w:val="40"/>
        </w:rPr>
        <w:t>Unaudited interim condensed consolidated statement of changes in equity</w:t>
      </w:r>
    </w:p>
    <w:p>
      <w:pPr>
        <w:pStyle w:val="TextBody"/>
        <w:bidi w:val="0"/>
        <w:jc w:val="left"/>
        <w:rPr/>
      </w:pPr>
      <w:r>
        <w:rPr/>
        <w:t> </w:t>
      </w:r>
    </w:p>
    <w:tbl>
      <w:tblPr>
        <w:tblW w:w="9220" w:type="dxa"/>
        <w:jc w:val="left"/>
        <w:tblInd w:w="0" w:type="dxa"/>
        <w:tblLayout w:type="fixed"/>
        <w:tblCellMar>
          <w:top w:w="28" w:type="dxa"/>
          <w:left w:w="28" w:type="dxa"/>
          <w:bottom w:w="28" w:type="dxa"/>
          <w:right w:w="28" w:type="dxa"/>
        </w:tblCellMar>
      </w:tblPr>
      <w:tblGrid>
        <w:gridCol w:w="3286"/>
        <w:gridCol w:w="541"/>
        <w:gridCol w:w="192"/>
        <w:gridCol w:w="379"/>
        <w:gridCol w:w="187"/>
        <w:gridCol w:w="187"/>
        <w:gridCol w:w="889"/>
        <w:gridCol w:w="213"/>
        <w:gridCol w:w="187"/>
        <w:gridCol w:w="966"/>
        <w:gridCol w:w="213"/>
        <w:gridCol w:w="227"/>
        <w:gridCol w:w="539"/>
        <w:gridCol w:w="166"/>
        <w:gridCol w:w="146"/>
        <w:gridCol w:w="691"/>
        <w:gridCol w:w="211"/>
      </w:tblGrid>
      <w:tr>
        <w:trPr/>
        <w:tc>
          <w:tcPr>
            <w:tcW w:w="32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attributable to equity holders of the parent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3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Equity</w:t>
            </w:r>
          </w:p>
        </w:tc>
        <w:tc>
          <w:tcPr>
            <w:tcW w:w="2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Share</w:t>
              <w:br/>
              <w:t>capital</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Capital</w:t>
              <w:br/>
              <w:t>reserves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Retained</w:t>
              <w:br/>
              <w:t>earnings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Other</w:t>
              <w:br/>
              <w:t>reserves</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January 1, 2026</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438,157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(232,243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205,900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for the period</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for the period</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income</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(38,344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(38,355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Equity-settled share-based payments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March 31, 2026</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441,489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(270,587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170,878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for the period</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for the period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income</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(36,565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warrants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Conversion of convertible loan</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increase from company funds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Equity-settled share-based payments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Redemption of employee share options</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Strike price payment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489,522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(307,141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182,422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January 1, 2025</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185,590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(177,854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7,734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for the period</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for the period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income</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(19,570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(19,592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contribution</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117,550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Equity-settled share-based payments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March 31, 2025</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304,156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(197,424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106,708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for the period</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for the period</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income</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contribution</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Buybacks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Transaction costs - net of deferred tax</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Equity-settled share-based payments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2025</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320,492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(212,429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108,043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V.</w:t>
      </w:r>
    </w:p>
    <w:p>
      <w:pPr>
        <w:pStyle w:val="TextBody"/>
        <w:bidi w:val="0"/>
        <w:jc w:val="left"/>
        <w:rPr>
          <w:rFonts w:ascii="Arial" w:hAnsi="Arial"/>
          <w:b/>
          <w:color w:val="000000"/>
          <w:sz w:val="40"/>
        </w:rPr>
      </w:pPr>
      <w:r>
        <w:rPr>
          <w:rFonts w:ascii="Arial" w:hAnsi="Arial"/>
          <w:b/>
          <w:color w:val="000000"/>
          <w:sz w:val="40"/>
        </w:rPr>
        <w:t>Unaudited interim condensed consolidated statement of cashflows</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211"/>
        <w:gridCol w:w="4786"/>
        <w:gridCol w:w="961"/>
        <w:gridCol w:w="226"/>
        <w:gridCol w:w="1070"/>
        <w:gridCol w:w="257"/>
        <w:gridCol w:w="226"/>
        <w:gridCol w:w="1070"/>
        <w:gridCol w:w="211"/>
      </w:tblGrid>
      <w:tr>
        <w:trPr/>
        <w:tc>
          <w:tcPr>
            <w:tcW w:w="21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Notes</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for the period</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(74,897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(34,575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for:</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Depreciation expense, amortization and </w:t>
              <w:br/>
              <w:t> impairment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5.1, 5.2, 5.3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Provisions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adjustments for non-cash items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Share-based payments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Finance income/cost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14,233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Income tax expense</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Changes in:</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Inventories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(11,961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assets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Trade receivables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financial assets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assets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Trade payables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liabilities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Employee benefits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liabilities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Income taxes paid</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operating activities</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(50,003</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disposals of property, plant, and equipment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Purchases of property, plant and equipment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(7,159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Refund from purchase of property, plant and equipment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acquisition of subsidiary - net of cash</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received</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investing activities</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(5,188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equity contributions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Transaction costs related to equity contributions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buybacks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warrants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20,501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loans and borrowings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loans and borrowings</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lease liabilities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incentives received</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(payment) of other financial assets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16"/>
              </w:rPr>
            </w:pPr>
            <w:r>
              <w:rPr>
                <w:rFonts w:ascii="Arial" w:hAnsi="Arial"/>
                <w:i/>
                <w:color w:val="000000"/>
                <w:sz w:val="16"/>
              </w:rPr>
              <w:t>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paid</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Cashflow from financing activities</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22,008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125,713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increase/(decrease) in cash and cash equivalents</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(33,184</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96,166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the beginning of year</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Effects of exchange rate changes on cash and cash equivalents</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and cash equivalents at the end of period</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113,424</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40"/>
        </w:rPr>
      </w:pPr>
      <w:r>
        <w:rPr>
          <w:rFonts w:ascii="Arial" w:hAnsi="Arial"/>
          <w:b/>
          <w:color w:val="000000"/>
          <w:sz w:val="40"/>
        </w:rPr>
        <w:t>VI.</w:t>
      </w:r>
    </w:p>
    <w:p>
      <w:pPr>
        <w:pStyle w:val="TextBody"/>
        <w:bidi w:val="0"/>
        <w:jc w:val="left"/>
        <w:rPr>
          <w:rFonts w:ascii="Arial" w:hAnsi="Arial"/>
          <w:b/>
          <w:color w:val="000000"/>
          <w:sz w:val="40"/>
        </w:rPr>
      </w:pPr>
      <w:r>
        <w:rPr>
          <w:rFonts w:ascii="Arial" w:hAnsi="Arial"/>
          <w:b/>
          <w:color w:val="000000"/>
          <w:sz w:val="40"/>
        </w:rPr>
        <w:t>Notes to the interim condensed</w:t>
      </w:r>
    </w:p>
    <w:p>
      <w:pPr>
        <w:pStyle w:val="TextBody"/>
        <w:bidi w:val="0"/>
        <w:ind w:left="720" w:right="0" w:hanging="0"/>
        <w:jc w:val="left"/>
        <w:rPr>
          <w:rFonts w:ascii="Arial" w:hAnsi="Arial"/>
          <w:b/>
          <w:color w:val="000000"/>
          <w:sz w:val="40"/>
        </w:rPr>
      </w:pPr>
      <w:r>
        <w:rPr>
          <w:rFonts w:ascii="Arial" w:hAnsi="Arial"/>
          <w:b/>
          <w:color w:val="000000"/>
          <w:sz w:val="40"/>
        </w:rPr>
        <w:t>consolidated financial statements</w:t>
      </w:r>
    </w:p>
    <w:p>
      <w:pPr>
        <w:pStyle w:val="TextBody"/>
        <w:bidi w:val="0"/>
        <w:spacing w:before="120" w:after="283"/>
        <w:jc w:val="left"/>
        <w:rPr>
          <w:rFonts w:ascii="Arial" w:hAnsi="Arial"/>
          <w:b/>
          <w:color w:val="000000"/>
          <w:sz w:val="36"/>
        </w:rPr>
      </w:pPr>
      <w:r>
        <w:rPr>
          <w:rFonts w:ascii="Arial" w:hAnsi="Arial"/>
          <w:b/>
          <w:color w:val="000000"/>
          <w:sz w:val="36"/>
        </w:rPr>
        <w:t>1.</w:t>
      </w:r>
    </w:p>
    <w:p>
      <w:pPr>
        <w:pStyle w:val="TextBody"/>
        <w:bidi w:val="0"/>
        <w:spacing w:before="120" w:after="283"/>
        <w:jc w:val="left"/>
        <w:rPr>
          <w:rFonts w:ascii="Arial" w:hAnsi="Arial"/>
          <w:b/>
          <w:color w:val="000000"/>
          <w:sz w:val="36"/>
        </w:rPr>
      </w:pPr>
      <w:r>
        <w:rPr>
          <w:rFonts w:ascii="Arial" w:hAnsi="Arial"/>
          <w:b/>
          <w:color w:val="000000"/>
          <w:sz w:val="36"/>
        </w:rPr>
        <w:t>Basis of preparation</w:t>
      </w:r>
    </w:p>
    <w:p>
      <w:pPr>
        <w:pStyle w:val="TextBody"/>
        <w:bidi w:val="0"/>
        <w:spacing w:before="120" w:after="283"/>
        <w:jc w:val="left"/>
        <w:rPr>
          <w:rFonts w:ascii="Arial" w:hAnsi="Arial"/>
          <w:b/>
          <w:color w:val="000000"/>
          <w:sz w:val="28"/>
        </w:rPr>
      </w:pPr>
      <w:r>
        <w:rPr>
          <w:rFonts w:ascii="Arial" w:hAnsi="Arial"/>
          <w:b/>
          <w:color w:val="000000"/>
          <w:sz w:val="28"/>
        </w:rPr>
        <w:t>1.1.</w:t>
      </w:r>
    </w:p>
    <w:p>
      <w:pPr>
        <w:pStyle w:val="TextBody"/>
        <w:bidi w:val="0"/>
        <w:spacing w:before="120" w:after="283"/>
        <w:jc w:val="left"/>
        <w:rPr>
          <w:rFonts w:ascii="Arial" w:hAnsi="Arial"/>
          <w:b/>
          <w:color w:val="000000"/>
          <w:sz w:val="28"/>
        </w:rPr>
      </w:pPr>
      <w:r>
        <w:rPr>
          <w:rFonts w:ascii="Arial" w:hAnsi="Arial"/>
          <w:b/>
          <w:color w:val="000000"/>
          <w:sz w:val="28"/>
        </w:rPr>
        <w:t>Reporting entity</w:t>
      </w:r>
    </w:p>
    <w:p>
      <w:pPr>
        <w:pStyle w:val="TextBody"/>
        <w:bidi w:val="0"/>
        <w:spacing w:before="120" w:after="283"/>
        <w:jc w:val="both"/>
        <w:rPr>
          <w:rFonts w:ascii="Arial" w:hAnsi="Arial"/>
          <w:color w:val="000000"/>
          <w:sz w:val="20"/>
        </w:rPr>
      </w:pPr>
      <w:r>
        <w:rPr>
          <w:rFonts w:ascii="Arial" w:hAnsi="Arial"/>
          <w:color w:val="000000"/>
          <w:sz w:val="20"/>
        </w:rPr>
        <w:t>These unaudited IFRS interim condensed consolidated financial statements comprise the parent entity and its subsidiaries of the IQM Group (the “Group”, or “IQM” or “IQM Group”), of which IQM Quantum Computers Oyj (the “Company”) is the parent. The Company is located in Finland and the Company’s address is Keilaranta 19D, 02150 Espoo, Finland.</w:t>
      </w:r>
    </w:p>
    <w:p>
      <w:pPr>
        <w:pStyle w:val="TextBody"/>
        <w:bidi w:val="0"/>
        <w:spacing w:before="120" w:after="283"/>
        <w:jc w:val="both"/>
        <w:rPr>
          <w:rFonts w:ascii="Arial" w:hAnsi="Arial"/>
          <w:color w:val="000000"/>
          <w:sz w:val="20"/>
        </w:rPr>
      </w:pPr>
      <w:r>
        <w:rPr>
          <w:rFonts w:ascii="Arial" w:hAnsi="Arial"/>
          <w:color w:val="000000"/>
          <w:sz w:val="20"/>
        </w:rPr>
        <w:t>The Company's name was changed from IQM Finland Oy to IQM Quantum Computers Oyj on June 29, 2026.</w:t>
      </w:r>
    </w:p>
    <w:p>
      <w:pPr>
        <w:pStyle w:val="TextBody"/>
        <w:bidi w:val="0"/>
        <w:spacing w:before="120" w:after="283"/>
        <w:jc w:val="both"/>
        <w:rPr>
          <w:rFonts w:ascii="Arial" w:hAnsi="Arial"/>
          <w:color w:val="000000"/>
          <w:sz w:val="20"/>
        </w:rPr>
      </w:pPr>
      <w:r>
        <w:rPr>
          <w:rFonts w:ascii="Arial" w:hAnsi="Arial"/>
          <w:color w:val="000000"/>
          <w:sz w:val="20"/>
        </w:rPr>
        <w:t>IQM Quantum Computers Oyj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Luxembourg, Poland, Spain, Singapore, United States and the United Kingdom.</w:t>
      </w:r>
    </w:p>
    <w:p>
      <w:pPr>
        <w:pStyle w:val="TextBody"/>
        <w:bidi w:val="0"/>
        <w:spacing w:before="120" w:after="283"/>
        <w:jc w:val="left"/>
        <w:rPr>
          <w:rFonts w:ascii="Arial" w:hAnsi="Arial"/>
          <w:b/>
          <w:color w:val="000000"/>
          <w:sz w:val="28"/>
        </w:rPr>
      </w:pPr>
      <w:r>
        <w:rPr>
          <w:rFonts w:ascii="Arial" w:hAnsi="Arial"/>
          <w:b/>
          <w:color w:val="000000"/>
          <w:sz w:val="28"/>
        </w:rPr>
        <w:t>1.2.</w:t>
      </w:r>
    </w:p>
    <w:p>
      <w:pPr>
        <w:pStyle w:val="TextBody"/>
        <w:bidi w:val="0"/>
        <w:spacing w:before="120" w:after="283"/>
        <w:jc w:val="left"/>
        <w:rPr>
          <w:rFonts w:ascii="Arial" w:hAnsi="Arial"/>
          <w:b/>
          <w:color w:val="000000"/>
          <w:sz w:val="28"/>
        </w:rPr>
      </w:pPr>
      <w:r>
        <w:rPr>
          <w:rFonts w:ascii="Arial" w:hAnsi="Arial"/>
          <w:b/>
          <w:color w:val="000000"/>
          <w:sz w:val="28"/>
        </w:rPr>
        <w:t>Basis of accounting</w:t>
      </w:r>
    </w:p>
    <w:p>
      <w:pPr>
        <w:pStyle w:val="TextBody"/>
        <w:bidi w:val="0"/>
        <w:spacing w:before="120" w:after="283"/>
        <w:jc w:val="both"/>
        <w:rPr>
          <w:rFonts w:ascii="Times New Roman" w:hAnsi="Times New Roman"/>
          <w:sz w:val="20"/>
        </w:rPr>
      </w:pPr>
      <w:r>
        <w:rPr>
          <w:rFonts w:ascii="Arial" w:hAnsi="Arial"/>
          <w:color w:val="000000"/>
          <w:sz w:val="20"/>
        </w:rPr>
        <w:t xml:space="preserve">IQM has prepared these interim condensed financial statements (“interim financial statements”) in accordance with IAS 34 </w:t>
      </w:r>
      <w:r>
        <w:rPr>
          <w:rFonts w:ascii="Arial" w:hAnsi="Arial"/>
          <w:i/>
          <w:color w:val="000000"/>
          <w:sz w:val="20"/>
        </w:rPr>
        <w:t>Interim Financial Reporting</w:t>
      </w:r>
      <w:r>
        <w:rPr>
          <w:rFonts w:ascii="Arial" w:hAnsi="Arial"/>
          <w:color w:val="000000"/>
          <w:sz w:val="20"/>
        </w:rPr>
        <w:t>.</w:t>
      </w:r>
    </w:p>
    <w:p>
      <w:pPr>
        <w:pStyle w:val="TextBody"/>
        <w:bidi w:val="0"/>
        <w:spacing w:before="120" w:after="283"/>
        <w:jc w:val="both"/>
        <w:rPr>
          <w:rFonts w:ascii="Times New Roman" w:hAnsi="Times New Roman"/>
          <w:sz w:val="20"/>
        </w:rPr>
      </w:pPr>
      <w:r>
        <w:rPr>
          <w:rFonts w:ascii="Arial" w:hAnsi="Arial"/>
          <w:color w:val="000000"/>
          <w:sz w:val="20"/>
        </w:rPr>
        <w:t>These interim financial statements do not include all notes disclosures presented in the annual consolidated financial statements. Accordingly, these interim financial statements should be read in conjunction with the annual consolidated financial statements for the year ended December 31, 2025.</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interim condensed consolidated financial statements are presented in Euro (EUR). Unless otherwise stated, all figures presented herein in EUR are rounded to the nearest thousand EUR. Due to rounding, it is possible that individual figures in these interim condensed consolidated financial statements do not add up exactly to the totals given and that the percentages shown do not exactly reflect the absolute figures to which they relate.</w:t>
      </w:r>
    </w:p>
    <w:p>
      <w:pPr>
        <w:pStyle w:val="TextBody"/>
        <w:bidi w:val="0"/>
        <w:spacing w:before="120" w:after="283"/>
        <w:jc w:val="both"/>
        <w:rPr>
          <w:rFonts w:ascii="Arial" w:hAnsi="Arial"/>
          <w:color w:val="000000"/>
          <w:sz w:val="20"/>
        </w:rPr>
      </w:pPr>
      <w:r>
        <w:rPr>
          <w:rFonts w:ascii="Arial" w:hAnsi="Arial"/>
          <w:color w:val="000000"/>
          <w:sz w:val="20"/>
        </w:rPr>
        <w:t>The accounting policies applied in these interim condensed consolidated financial statements are consistent with those applied in the Group's annual consolidated financial statements for the year ended December 31, 2025.</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8"/>
        </w:rPr>
      </w:pPr>
      <w:r>
        <w:rPr>
          <w:rFonts w:ascii="Arial" w:hAnsi="Arial"/>
          <w:b/>
          <w:color w:val="000000"/>
          <w:sz w:val="28"/>
        </w:rPr>
        <w:t>1.3.</w:t>
      </w:r>
    </w:p>
    <w:p>
      <w:pPr>
        <w:pStyle w:val="TextBody"/>
        <w:bidi w:val="0"/>
        <w:spacing w:before="120" w:after="283"/>
        <w:jc w:val="both"/>
        <w:rPr>
          <w:rFonts w:ascii="Arial" w:hAnsi="Arial"/>
          <w:b/>
          <w:color w:val="000000"/>
          <w:sz w:val="28"/>
        </w:rPr>
      </w:pPr>
      <w:r>
        <w:rPr>
          <w:rFonts w:ascii="Arial" w:hAnsi="Arial"/>
          <w:b/>
          <w:color w:val="000000"/>
          <w:sz w:val="28"/>
        </w:rPr>
        <w:t>New standards and amendments</w:t>
      </w:r>
    </w:p>
    <w:p>
      <w:pPr>
        <w:pStyle w:val="TextBody"/>
        <w:bidi w:val="0"/>
        <w:spacing w:before="120" w:after="283"/>
        <w:jc w:val="both"/>
        <w:rPr>
          <w:rFonts w:ascii="Arial" w:hAnsi="Arial"/>
          <w:color w:val="000000"/>
          <w:sz w:val="20"/>
        </w:rPr>
      </w:pPr>
      <w:r>
        <w:rPr>
          <w:rFonts w:ascii="Arial" w:hAnsi="Arial"/>
          <w:color w:val="000000"/>
          <w:sz w:val="20"/>
        </w:rPr>
        <w:t>The following standard published by the IASB is not yet mandatory. The Group is not applying them early.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9218"/>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Arial" w:hAnsi="Arial"/>
                <w:b/>
                <w:color w:val="000000"/>
                <w:sz w:val="16"/>
              </w:rPr>
            </w:pPr>
            <w:r>
              <w:rPr>
                <w:rFonts w:ascii="Arial" w:hAnsi="Arial"/>
                <w:b/>
                <w:color w:val="000000"/>
                <w:sz w:val="16"/>
              </w:rPr>
              <w:t>Standard</w:t>
            </w:r>
          </w:p>
        </w:tc>
        <w:tc>
          <w:tcPr>
            <w:tcW w:w="146" w:type="dxa"/>
            <w:tcBorders>
              <w:bottom w:val="single" w:sz="4" w:space="0" w:color="000000"/>
            </w:tcBorders>
            <w:tcMar>
              <w:top w:w="0" w:type="dxa"/>
              <w:left w:w="0" w:type="dxa"/>
              <w:right w:w="0" w:type="dxa"/>
            </w:tcMar>
            <w:vAlign w:val="center"/>
          </w:tcPr>
          <w:p>
            <w:pPr>
              <w:pStyle w:val="TableContents"/>
              <w:bidi w:val="0"/>
              <w:spacing w:before="120" w:after="120"/>
              <w:jc w:val="left"/>
              <w:rPr/>
            </w:pPr>
            <w:r>
              <w:rPr/>
              <w:t> </w:t>
            </w:r>
          </w:p>
        </w:tc>
        <w:tc>
          <w:tcPr>
            <w:tcW w:w="9218"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Arial" w:hAnsi="Arial"/>
                <w:b/>
                <w:color w:val="000000"/>
                <w:sz w:val="16"/>
              </w:rPr>
            </w:pPr>
            <w:r>
              <w:rPr>
                <w:rFonts w:ascii="Arial" w:hAnsi="Arial"/>
                <w:b/>
                <w:color w:val="000000"/>
                <w:sz w:val="16"/>
              </w:rPr>
              <w:t>Explanation</w:t>
            </w:r>
          </w:p>
        </w:tc>
      </w:tr>
      <w:tr>
        <w:trPr/>
        <w:tc>
          <w:tcPr>
            <w:tcW w:w="841" w:type="dxa"/>
            <w:tcBorders/>
            <w:tcMar>
              <w:top w:w="0" w:type="dxa"/>
              <w:left w:w="0" w:type="dxa"/>
              <w:bottom w:w="0" w:type="dxa"/>
              <w:right w:w="0" w:type="dxa"/>
            </w:tcMar>
            <w:vAlign w:val="center"/>
          </w:tcPr>
          <w:p>
            <w:pPr>
              <w:pStyle w:val="TableContents"/>
              <w:bidi w:val="0"/>
              <w:spacing w:before="120" w:after="120"/>
              <w:jc w:val="both"/>
              <w:rPr>
                <w:rFonts w:ascii="Arial" w:hAnsi="Arial"/>
                <w:b/>
                <w:color w:val="000000"/>
                <w:sz w:val="16"/>
              </w:rPr>
            </w:pPr>
            <w:r>
              <w:rPr>
                <w:rFonts w:ascii="Arial" w:hAnsi="Arial"/>
                <w:b/>
                <w:color w:val="000000"/>
                <w:sz w:val="16"/>
              </w:rPr>
              <w:t>IFRS 18</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9218" w:type="dxa"/>
            <w:tcBorders/>
            <w:tcMar>
              <w:top w:w="0" w:type="dxa"/>
              <w:left w:w="0" w:type="dxa"/>
              <w:bottom w:w="0" w:type="dxa"/>
              <w:right w:w="0" w:type="dxa"/>
            </w:tcMar>
            <w:vAlign w:val="center"/>
          </w:tcPr>
          <w:p>
            <w:pPr>
              <w:pStyle w:val="TableContents"/>
              <w:bidi w:val="0"/>
              <w:spacing w:before="120" w:after="120"/>
              <w:jc w:val="both"/>
              <w:rPr>
                <w:rFonts w:ascii="Arial" w:hAnsi="Arial"/>
                <w:color w:val="000000"/>
                <w:sz w:val="20"/>
              </w:rPr>
            </w:pPr>
            <w:r>
              <w:rPr>
                <w:rFonts w:ascii="Arial" w:hAnsi="Arial"/>
                <w:color w:val="000000"/>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120"/>
              <w:jc w:val="both"/>
              <w:rPr>
                <w:rFonts w:ascii="Arial" w:hAnsi="Arial"/>
                <w:color w:val="000000"/>
                <w:sz w:val="20"/>
              </w:rPr>
            </w:pPr>
            <w:r>
              <w:rPr>
                <w:rFonts w:ascii="Arial" w:hAnsi="Arial"/>
                <w:color w:val="000000"/>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120"/>
              <w:jc w:val="both"/>
              <w:rPr>
                <w:rFonts w:ascii="Arial" w:hAnsi="Arial"/>
                <w:color w:val="000000"/>
                <w:sz w:val="20"/>
              </w:rPr>
            </w:pPr>
            <w:r>
              <w:rPr>
                <w:rFonts w:ascii="Arial" w:hAnsi="Arial"/>
                <w:color w:val="000000"/>
                <w:sz w:val="20"/>
              </w:rPr>
              <w:t>Management-defined performance measures (MPMs) are disclosed in a single note in the financial statements.</w:t>
            </w:r>
          </w:p>
          <w:p>
            <w:pPr>
              <w:pStyle w:val="TableContents"/>
              <w:bidi w:val="0"/>
              <w:spacing w:before="0" w:after="120"/>
              <w:jc w:val="both"/>
              <w:rPr>
                <w:rFonts w:ascii="Arial" w:hAnsi="Arial"/>
                <w:color w:val="000000"/>
                <w:sz w:val="20"/>
              </w:rPr>
            </w:pPr>
            <w:r>
              <w:rPr>
                <w:rFonts w:ascii="Arial" w:hAnsi="Arial"/>
                <w:color w:val="000000"/>
                <w:sz w:val="20"/>
              </w:rPr>
              <w:t>Enhanced guidance is provided on how to group information in the financial statements.</w:t>
            </w:r>
          </w:p>
          <w:p>
            <w:pPr>
              <w:pStyle w:val="TableContents"/>
              <w:bidi w:val="0"/>
              <w:spacing w:before="0" w:after="120"/>
              <w:jc w:val="both"/>
              <w:rPr>
                <w:rFonts w:ascii="Arial" w:hAnsi="Arial"/>
                <w:color w:val="000000"/>
                <w:sz w:val="20"/>
              </w:rPr>
            </w:pPr>
            <w:r>
              <w:rPr>
                <w:rFonts w:ascii="Arial" w:hAnsi="Arial"/>
                <w:color w:val="000000"/>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120"/>
              <w:jc w:val="both"/>
              <w:rPr>
                <w:rFonts w:ascii="Arial" w:hAnsi="Arial"/>
                <w:color w:val="000000"/>
                <w:sz w:val="20"/>
              </w:rPr>
            </w:pPr>
            <w:r>
              <w:rPr>
                <w:rFonts w:ascii="Arial" w:hAnsi="Arial"/>
                <w:color w:val="000000"/>
                <w:sz w:val="20"/>
              </w:rPr>
              <w:t>As at June 30, 2026, IQM's assessment of the impact of IFRS 18 including the classification of income and expenses into the new categories, the identification of any management-defined performance measures, and the determination of IQM's main business activities is ongoing and has not yet been finalized.</w:t>
            </w:r>
          </w:p>
          <w:p>
            <w:pPr>
              <w:pStyle w:val="TableContents"/>
              <w:bidi w:val="0"/>
              <w:spacing w:before="0" w:after="120"/>
              <w:jc w:val="both"/>
              <w:rPr>
                <w:rFonts w:ascii="Arial" w:hAnsi="Arial"/>
                <w:color w:val="000000"/>
                <w:sz w:val="20"/>
              </w:rPr>
            </w:pPr>
            <w:r>
              <w:rPr>
                <w:rFonts w:ascii="Arial" w:hAnsi="Arial"/>
                <w:color w:val="000000"/>
                <w:sz w:val="20"/>
              </w:rPr>
              <w:t>IQM is assessing the impact of IFRS 18 on its consolidated financial statements. As IFRS 18 does not change the recognition and measurement requirements, IQM does not expect it to have a significant impact other than on the presentation and disclosure of its financial information. This assessment, including the evaluation of related judgements, is not yet complete. Therefore, IQM will disclose further information, including quantitative estimates where available, in future annual financial statements as its assessment progresses.</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36"/>
        </w:rPr>
      </w:pPr>
      <w:r>
        <w:rPr>
          <w:rFonts w:ascii="Arial" w:hAnsi="Arial"/>
          <w:b/>
          <w:color w:val="000000"/>
          <w:sz w:val="36"/>
        </w:rPr>
        <w:t>2.</w:t>
      </w:r>
    </w:p>
    <w:p>
      <w:pPr>
        <w:pStyle w:val="TextBody"/>
        <w:bidi w:val="0"/>
        <w:spacing w:before="120" w:after="283"/>
        <w:jc w:val="left"/>
        <w:rPr>
          <w:rFonts w:ascii="Arial" w:hAnsi="Arial"/>
          <w:b/>
          <w:color w:val="000000"/>
          <w:sz w:val="36"/>
        </w:rPr>
      </w:pPr>
      <w:r>
        <w:rPr>
          <w:rFonts w:ascii="Arial" w:hAnsi="Arial"/>
          <w:b/>
          <w:color w:val="000000"/>
          <w:sz w:val="36"/>
        </w:rPr>
        <w:t>Operating segments</w:t>
      </w:r>
    </w:p>
    <w:p>
      <w:pPr>
        <w:pStyle w:val="TextBody"/>
        <w:bidi w:val="0"/>
        <w:spacing w:before="120" w:after="283"/>
        <w:jc w:val="both"/>
        <w:rPr>
          <w:rFonts w:ascii="Arial" w:hAnsi="Arial"/>
          <w:color w:val="000000"/>
          <w:sz w:val="20"/>
        </w:rPr>
      </w:pPr>
      <w:r>
        <w:rPr>
          <w:rFonts w:ascii="Arial" w:hAnsi="Arial"/>
          <w:color w:val="000000"/>
          <w:sz w:val="20"/>
        </w:rPr>
        <w:t>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reporting period is the measure of profit or loss used by the CODM to assess performance and allocate resources.</w:t>
      </w:r>
    </w:p>
    <w:p>
      <w:pPr>
        <w:pStyle w:val="TextBody"/>
        <w:bidi w:val="0"/>
        <w:spacing w:before="120" w:after="283"/>
        <w:jc w:val="left"/>
        <w:rPr>
          <w:rFonts w:ascii="Arial" w:hAnsi="Arial"/>
          <w:b/>
          <w:color w:val="000000"/>
          <w:sz w:val="22"/>
        </w:rPr>
      </w:pPr>
      <w:r>
        <w:rPr>
          <w:rFonts w:ascii="Arial" w:hAnsi="Arial"/>
          <w:b/>
          <w:color w:val="000000"/>
          <w:sz w:val="22"/>
        </w:rPr>
        <w:t>Revenue by geographical areas</w:t>
      </w:r>
    </w:p>
    <w:p>
      <w:pPr>
        <w:pStyle w:val="TextBody"/>
        <w:bidi w:val="0"/>
        <w:spacing w:before="120" w:after="283"/>
        <w:jc w:val="both"/>
        <w:rPr/>
      </w:pPr>
      <w:r>
        <w:rPr>
          <w:rFonts w:ascii="Arial" w:hAnsi="Arial"/>
          <w:color w:val="000000"/>
          <w:sz w:val="20"/>
        </w:rPr>
        <w:t xml:space="preserve">Revenue by geographical region can be found in Note </w:t>
      </w:r>
      <w:hyperlink w:anchor="disaggregation_of_revenue">
        <w:r>
          <w:rPr>
            <w:rStyle w:val="InternetLink"/>
            <w:rFonts w:ascii="Arial" w:hAnsi="Arial"/>
            <w:color w:val="0000FF"/>
            <w:sz w:val="20"/>
            <w:u w:val="single"/>
          </w:rPr>
          <w:t>3.1</w:t>
        </w:r>
      </w:hyperlink>
      <w:r>
        <w:rPr>
          <w:rFonts w:ascii="Arial" w:hAnsi="Arial"/>
          <w:color w:val="000000"/>
          <w:sz w:val="20"/>
        </w:rPr>
        <w:t>.</w:t>
      </w:r>
    </w:p>
    <w:p>
      <w:pPr>
        <w:pStyle w:val="TextBody"/>
        <w:bidi w:val="0"/>
        <w:spacing w:before="120" w:after="283"/>
        <w:jc w:val="left"/>
        <w:rPr>
          <w:rFonts w:ascii="Arial" w:hAnsi="Arial"/>
          <w:b/>
          <w:color w:val="000000"/>
          <w:sz w:val="22"/>
        </w:rPr>
      </w:pPr>
      <w:r>
        <w:rPr>
          <w:rFonts w:ascii="Arial" w:hAnsi="Arial"/>
          <w:b/>
          <w:color w:val="000000"/>
          <w:sz w:val="22"/>
        </w:rPr>
        <w:t>Non-current assets by geographical areas</w:t>
      </w:r>
    </w:p>
    <w:p>
      <w:pPr>
        <w:pStyle w:val="TextBody"/>
        <w:bidi w:val="0"/>
        <w:spacing w:before="120" w:after="283"/>
        <w:jc w:val="both"/>
        <w:rPr>
          <w:rFonts w:ascii="Arial" w:hAnsi="Arial"/>
          <w:color w:val="000000"/>
          <w:sz w:val="20"/>
        </w:rPr>
      </w:pPr>
      <w:r>
        <w:rPr>
          <w:rFonts w:ascii="Arial" w:hAnsi="Arial"/>
          <w:color w:val="000000"/>
          <w:sz w:val="20"/>
        </w:rPr>
        <w:t>The total of non-current assets other than financial instruments and deferred tax assets, broken down by location of the assets, is shown in the following table:</w:t>
      </w:r>
    </w:p>
    <w:p>
      <w:pPr>
        <w:pStyle w:val="TextBody"/>
        <w:bidi w:val="0"/>
        <w:jc w:val="both"/>
        <w:rPr/>
      </w:pPr>
      <w:r>
        <w:rPr/>
        <w:t> </w:t>
      </w:r>
    </w:p>
    <w:tbl>
      <w:tblPr>
        <w:tblW w:w="6503" w:type="dxa"/>
        <w:jc w:val="left"/>
        <w:tblInd w:w="0" w:type="dxa"/>
        <w:tblLayout w:type="fixed"/>
        <w:tblCellMar>
          <w:top w:w="28" w:type="dxa"/>
          <w:left w:w="28" w:type="dxa"/>
          <w:bottom w:w="28" w:type="dxa"/>
          <w:right w:w="28" w:type="dxa"/>
        </w:tblCellMar>
      </w:tblPr>
      <w:tblGrid>
        <w:gridCol w:w="3421"/>
        <w:gridCol w:w="228"/>
        <w:gridCol w:w="942"/>
        <w:gridCol w:w="146"/>
        <w:gridCol w:w="307"/>
        <w:gridCol w:w="1268"/>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assets located in Finland</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assets located in Germany</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assets located in other countries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69,800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Arial" w:hAnsi="Arial"/>
          <w:b/>
          <w:color w:val="000000"/>
          <w:sz w:val="22"/>
        </w:rPr>
      </w:pPr>
      <w:r>
        <w:rPr>
          <w:rFonts w:ascii="Arial" w:hAnsi="Arial"/>
          <w:b/>
          <w:color w:val="000000"/>
          <w:sz w:val="22"/>
        </w:rPr>
        <w:t>Information about major customers</w:t>
      </w:r>
    </w:p>
    <w:p>
      <w:pPr>
        <w:pStyle w:val="TextBody"/>
        <w:bidi w:val="0"/>
        <w:jc w:val="both"/>
        <w:rPr>
          <w:rFonts w:ascii="Arial" w:hAnsi="Arial"/>
          <w:color w:val="000000"/>
          <w:sz w:val="20"/>
        </w:rPr>
      </w:pPr>
      <w:r>
        <w:rPr>
          <w:rFonts w:ascii="Arial" w:hAnsi="Arial"/>
          <w:color w:val="000000"/>
          <w:sz w:val="20"/>
        </w:rPr>
        <w:t>In the reporting period, the Group generated revenues from transactions with a limited number of major customers. Revenues from transactions with a single customer amounting to 10% or more of the Group’s total revenue are disclosed below:</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1351"/>
        <w:gridCol w:w="358"/>
        <w:gridCol w:w="1254"/>
        <w:gridCol w:w="358"/>
        <w:gridCol w:w="358"/>
        <w:gridCol w:w="701"/>
        <w:gridCol w:w="146"/>
        <w:gridCol w:w="337"/>
        <w:gridCol w:w="1179"/>
        <w:gridCol w:w="337"/>
        <w:gridCol w:w="337"/>
        <w:gridCol w:w="660"/>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1</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2,131</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3,773</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2</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3,576</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3,588</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5,702</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7,344</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3.</w:t>
      </w:r>
    </w:p>
    <w:p>
      <w:pPr>
        <w:pStyle w:val="TextBody"/>
        <w:bidi w:val="0"/>
        <w:spacing w:before="120" w:after="120"/>
        <w:jc w:val="left"/>
        <w:rPr>
          <w:rFonts w:ascii="Arial" w:hAnsi="Arial"/>
          <w:b/>
          <w:color w:val="000000"/>
          <w:sz w:val="36"/>
        </w:rPr>
      </w:pPr>
      <w:r>
        <w:rPr>
          <w:rFonts w:ascii="Arial" w:hAnsi="Arial"/>
          <w:b/>
          <w:color w:val="000000"/>
          <w:sz w:val="36"/>
        </w:rPr>
        <w:t>Revenue from contracts with customers</w:t>
      </w:r>
    </w:p>
    <w:p>
      <w:pPr>
        <w:pStyle w:val="TextBody"/>
        <w:bidi w:val="0"/>
        <w:spacing w:before="0" w:after="120"/>
        <w:jc w:val="left"/>
        <w:rPr>
          <w:rFonts w:ascii="Arial" w:hAnsi="Arial"/>
          <w:b/>
          <w:color w:val="000000"/>
          <w:sz w:val="28"/>
        </w:rPr>
      </w:pPr>
      <w:r>
        <w:rPr>
          <w:rFonts w:ascii="Arial" w:hAnsi="Arial"/>
          <w:b/>
          <w:color w:val="000000"/>
          <w:sz w:val="28"/>
        </w:rPr>
        <w:t>3.1.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Arial" w:hAnsi="Arial"/>
          <w:b/>
          <w:color w:val="000000"/>
          <w:sz w:val="28"/>
        </w:rPr>
      </w:pPr>
      <w:r>
        <w:rPr>
          <w:rFonts w:ascii="Arial" w:hAnsi="Arial"/>
          <w:b/>
          <w:color w:val="000000"/>
          <w:sz w:val="28"/>
        </w:rPr>
        <w:t>Disaggregation of revenue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Arial" w:hAnsi="Arial"/>
          <w:color w:val="000000"/>
          <w:sz w:val="20"/>
        </w:rPr>
      </w:pPr>
      <w:r>
        <w:rPr>
          <w:rFonts w:ascii="Arial" w:hAnsi="Arial"/>
          <w:color w:val="000000"/>
          <w:sz w:val="20"/>
        </w:rPr>
        <w:t>IQM disaggregates revenue by geographical area based on the country of domicile of the respective customer. External revenues are attributable to the following countries:</w:t>
      </w:r>
    </w:p>
    <w:p>
      <w:pPr>
        <w:pStyle w:val="TextBody"/>
        <w:bidi w:val="0"/>
        <w:jc w:val="both"/>
        <w:rPr/>
      </w:pPr>
      <w:r>
        <w:rPr/>
        <w:t> </w:t>
      </w:r>
    </w:p>
    <w:tbl>
      <w:tblPr>
        <w:tblW w:w="7566" w:type="dxa"/>
        <w:jc w:val="left"/>
        <w:tblInd w:w="0" w:type="dxa"/>
        <w:tblLayout w:type="fixed"/>
        <w:tblCellMar>
          <w:top w:w="28" w:type="dxa"/>
          <w:left w:w="28" w:type="dxa"/>
          <w:bottom w:w="28" w:type="dxa"/>
          <w:right w:w="28" w:type="dxa"/>
        </w:tblCellMar>
      </w:tblPr>
      <w:tblGrid>
        <w:gridCol w:w="1351"/>
        <w:gridCol w:w="303"/>
        <w:gridCol w:w="1060"/>
        <w:gridCol w:w="303"/>
        <w:gridCol w:w="303"/>
        <w:gridCol w:w="1060"/>
        <w:gridCol w:w="146"/>
        <w:gridCol w:w="285"/>
        <w:gridCol w:w="997"/>
        <w:gridCol w:w="285"/>
        <w:gridCol w:w="285"/>
        <w:gridCol w:w="997"/>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Finland</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USA</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Germany</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1,115</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Czech Republic</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6,683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8,870</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Group primarily generates revenue from quantum computer system sales, including co-development projects and professional services such as training, maintenance and technical support.</w:t>
      </w:r>
    </w:p>
    <w:p>
      <w:pPr>
        <w:pStyle w:val="TextBody"/>
        <w:bidi w:val="0"/>
        <w:spacing w:before="120" w:after="283"/>
        <w:jc w:val="both"/>
        <w:rPr>
          <w:rFonts w:ascii="Arial" w:hAnsi="Arial"/>
          <w:color w:val="000000"/>
          <w:sz w:val="20"/>
        </w:rPr>
      </w:pPr>
      <w:r>
        <w:rPr>
          <w:rFonts w:ascii="Arial" w:hAnsi="Arial"/>
          <w:color w:val="000000"/>
          <w:sz w:val="20"/>
        </w:rPr>
        <w:t>For the six months ended June, 2026 the Group generates revenue of EUR 144 thousand from cloud-based usage of IQM quantum computers (June 30, 2025: 31 thousand).</w:t>
      </w:r>
    </w:p>
    <w:p>
      <w:pPr>
        <w:pStyle w:val="TextBody"/>
        <w:bidi w:val="0"/>
        <w:spacing w:before="120" w:after="283"/>
        <w:jc w:val="both"/>
        <w:rPr>
          <w:rFonts w:ascii="Arial" w:hAnsi="Arial"/>
          <w:color w:val="000000"/>
          <w:sz w:val="20"/>
        </w:rPr>
      </w:pPr>
      <w:r>
        <w:rPr>
          <w:rFonts w:ascii="Arial" w:hAnsi="Arial"/>
          <w:color w:val="000000"/>
          <w:sz w:val="20"/>
        </w:rPr>
        <w:t>Revenue recognized over time corresponds to approximately 44% (2025: 99%) of total revenue whereas revenue recognized at point in time accounts for approximately 56% (2025: 1%) of total revenue. The increase in revenue recognized at a point in time was primarily driven by the delivery of a standardized quantum computing system to a major customer in the United States, amounting to EUR 3,576 thousand. The resulting change in the relative proportion of revenue recognized over time and at a point in time reflects the timing and product mix of customer deliveries during the period and is not indicative of a structural change in the Group's revenue recognition profile.</w:t>
      </w:r>
    </w:p>
    <w:p>
      <w:pPr>
        <w:pStyle w:val="TextBody"/>
        <w:bidi w:val="0"/>
        <w:spacing w:before="120" w:after="283"/>
        <w:jc w:val="left"/>
        <w:rPr>
          <w:rFonts w:ascii="Arial" w:hAnsi="Arial"/>
          <w:b/>
          <w:color w:val="000000"/>
          <w:sz w:val="28"/>
        </w:rPr>
      </w:pPr>
      <w:r>
        <w:rPr>
          <w:rFonts w:ascii="Arial" w:hAnsi="Arial"/>
          <w:b/>
          <w:color w:val="000000"/>
          <w:sz w:val="28"/>
        </w:rPr>
        <w:t>3.2.</w:t>
      </w:r>
    </w:p>
    <w:p>
      <w:pPr>
        <w:pStyle w:val="TextBody"/>
        <w:bidi w:val="0"/>
        <w:spacing w:before="120" w:after="283"/>
        <w:jc w:val="left"/>
        <w:rPr>
          <w:rFonts w:ascii="Arial" w:hAnsi="Arial"/>
          <w:b/>
          <w:color w:val="000000"/>
          <w:sz w:val="28"/>
        </w:rPr>
      </w:pPr>
      <w:r>
        <w:rPr>
          <w:rFonts w:ascii="Arial" w:hAnsi="Arial"/>
          <w:b/>
          <w:color w:val="000000"/>
          <w:sz w:val="28"/>
        </w:rPr>
        <w:t>Order Backlog</w:t>
      </w:r>
    </w:p>
    <w:p>
      <w:pPr>
        <w:pStyle w:val="TextBody"/>
        <w:bidi w:val="0"/>
        <w:spacing w:before="120" w:after="283"/>
        <w:jc w:val="both"/>
        <w:rPr>
          <w:rFonts w:ascii="Arial" w:hAnsi="Arial"/>
          <w:color w:val="000000"/>
          <w:sz w:val="20"/>
        </w:rPr>
      </w:pPr>
      <w:r>
        <w:rPr>
          <w:rFonts w:ascii="Arial" w:hAnsi="Arial"/>
          <w:color w:val="000000"/>
          <w:sz w:val="20"/>
        </w:rPr>
        <w:t>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w:t>
      </w:r>
    </w:p>
    <w:p>
      <w:pPr>
        <w:pStyle w:val="TextBody"/>
        <w:bidi w:val="0"/>
        <w:spacing w:before="120" w:after="283"/>
        <w:jc w:val="both"/>
        <w:rPr>
          <w:rFonts w:ascii="Arial" w:hAnsi="Arial"/>
          <w:color w:val="000000"/>
          <w:sz w:val="20"/>
        </w:rPr>
      </w:pPr>
      <w:r>
        <w:rPr>
          <w:rFonts w:ascii="Arial" w:hAnsi="Arial"/>
          <w:color w:val="000000"/>
          <w:sz w:val="20"/>
        </w:rPr>
        <w:t>The table below sets forth our Order Backlog as of June 30, 2026 and June 30, 2025. For the six months ended June 30, 2026 the total order intake reduced from EUR 51,493 thousand to EUR 10,654 thousand. Given the Group's business model, order intake can fluctuate significantly between reporting periods depending on when larger customer orders are secured. The decrease does not reflect a structural change in underlying customer demand but rather the normal timing and project size dynamics characteristic of the Group's business.</w:t>
      </w:r>
    </w:p>
    <w:p>
      <w:pPr>
        <w:pStyle w:val="TextBody"/>
        <w:bidi w:val="0"/>
        <w:jc w:val="both"/>
        <w:rPr/>
      </w:pPr>
      <w:r>
        <w:rPr/>
        <w:t> </w:t>
      </w:r>
    </w:p>
    <w:tbl>
      <w:tblPr>
        <w:tblW w:w="10147" w:type="dxa"/>
        <w:jc w:val="left"/>
        <w:tblInd w:w="0" w:type="dxa"/>
        <w:tblLayout w:type="fixed"/>
        <w:tblCellMar>
          <w:top w:w="28" w:type="dxa"/>
          <w:left w:w="28" w:type="dxa"/>
          <w:bottom w:w="28" w:type="dxa"/>
          <w:right w:w="28" w:type="dxa"/>
        </w:tblCellMar>
      </w:tblPr>
      <w:tblGrid>
        <w:gridCol w:w="3736"/>
        <w:gridCol w:w="269"/>
        <w:gridCol w:w="1110"/>
        <w:gridCol w:w="269"/>
        <w:gridCol w:w="269"/>
        <w:gridCol w:w="1110"/>
        <w:gridCol w:w="146"/>
        <w:gridCol w:w="253"/>
        <w:gridCol w:w="1044"/>
        <w:gridCol w:w="253"/>
        <w:gridCol w:w="253"/>
        <w:gridCol w:w="1044"/>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84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Order Backlog at the beginning of reporting period</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65,457</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74,680</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67,321</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Order Intake</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10,332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10,654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Hardware and service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9,871</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6,073</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9,871</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Cloud platform</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recognized revenue</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Hardware and service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6,356</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8,276</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Cloud platform</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Order Backlog at the end of reporting period</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69,106</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75,591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69,106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4.</w:t>
      </w:r>
    </w:p>
    <w:p>
      <w:pPr>
        <w:pStyle w:val="TextBody"/>
        <w:bidi w:val="0"/>
        <w:spacing w:before="120" w:after="120"/>
        <w:jc w:val="left"/>
        <w:rPr>
          <w:rFonts w:ascii="Arial" w:hAnsi="Arial"/>
          <w:b/>
          <w:color w:val="000000"/>
          <w:sz w:val="36"/>
        </w:rPr>
      </w:pPr>
      <w:r>
        <w:rPr>
          <w:rFonts w:ascii="Arial" w:hAnsi="Arial"/>
          <w:b/>
          <w:color w:val="000000"/>
          <w:sz w:val="36"/>
        </w:rPr>
        <w:t>Income and expenses</w:t>
      </w:r>
    </w:p>
    <w:p>
      <w:pPr>
        <w:pStyle w:val="TextBody"/>
        <w:bidi w:val="0"/>
        <w:spacing w:before="0" w:after="0"/>
        <w:jc w:val="left"/>
        <w:rPr>
          <w:rFonts w:ascii="Arial" w:hAnsi="Arial"/>
          <w:b/>
          <w:color w:val="000000"/>
          <w:sz w:val="28"/>
        </w:rPr>
      </w:pPr>
      <w:r>
        <w:rPr>
          <w:rFonts w:ascii="Arial" w:hAnsi="Arial"/>
          <w:b/>
          <w:color w:val="000000"/>
          <w:sz w:val="28"/>
        </w:rPr>
        <w:t>4.1.</w:t>
      </w:r>
    </w:p>
    <w:p>
      <w:pPr>
        <w:pStyle w:val="TextBody"/>
        <w:bidi w:val="0"/>
        <w:jc w:val="left"/>
        <w:rPr>
          <w:rFonts w:ascii="Arial" w:hAnsi="Arial"/>
          <w:b/>
          <w:color w:val="000000"/>
          <w:sz w:val="28"/>
        </w:rPr>
      </w:pPr>
      <w:r>
        <w:rPr>
          <w:rFonts w:ascii="Arial" w:hAnsi="Arial"/>
          <w:b/>
          <w:color w:val="000000"/>
          <w:sz w:val="28"/>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by EUR 19,289 thousand to EUR 26,201 thousand for the six months ended June 30, 2026 as compared to EUR 6,912 thousand for the six months ended June 30, 2025. General and administrative expenses increased by EUR 11,071 thousand to EUR 15,450 thousand for the three months ended June 30, 2026 as compared to EUR 4,380 thousand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increase for the three months and six months ended June 30, 2026 were primarily attributable to approximately EUR 9.908 thousand of transaction costs incurred in connection with the business combination and the commencement of US trading, the PIPE agreements and the Finnish initial public offering, as discussed above.</w:t>
      </w:r>
    </w:p>
    <w:p>
      <w:pPr>
        <w:pStyle w:val="TextBody"/>
        <w:bidi w:val="0"/>
        <w:spacing w:before="120" w:after="283"/>
        <w:jc w:val="left"/>
        <w:rPr>
          <w:rFonts w:ascii="Arial" w:hAnsi="Arial"/>
          <w:b/>
          <w:color w:val="000000"/>
          <w:sz w:val="28"/>
        </w:rPr>
      </w:pPr>
      <w:r>
        <w:rPr>
          <w:rFonts w:ascii="Arial" w:hAnsi="Arial"/>
          <w:b/>
          <w:color w:val="000000"/>
          <w:sz w:val="28"/>
        </w:rPr>
        <w:t>4.2.</w:t>
      </w:r>
    </w:p>
    <w:p>
      <w:pPr>
        <w:pStyle w:val="TextBody"/>
        <w:bidi w:val="0"/>
        <w:spacing w:before="120" w:after="283"/>
        <w:jc w:val="left"/>
        <w:rPr>
          <w:rFonts w:ascii="Arial" w:hAnsi="Arial"/>
          <w:b/>
          <w:color w:val="000000"/>
          <w:sz w:val="28"/>
        </w:rPr>
      </w:pPr>
      <w:r>
        <w:rPr>
          <w:rFonts w:ascii="Arial" w:hAnsi="Arial"/>
          <w:b/>
          <w:color w:val="000000"/>
          <w:sz w:val="28"/>
        </w:rPr>
        <w:t>Other operating income</w:t>
      </w:r>
    </w:p>
    <w:p>
      <w:pPr>
        <w:pStyle w:val="TextBody"/>
        <w:bidi w:val="0"/>
        <w:spacing w:before="120" w:after="283"/>
        <w:jc w:val="both"/>
        <w:rPr>
          <w:rFonts w:ascii="Arial" w:hAnsi="Arial"/>
          <w:color w:val="000000"/>
          <w:sz w:val="20"/>
        </w:rPr>
      </w:pPr>
      <w:r>
        <w:rPr>
          <w:rFonts w:ascii="Arial" w:hAnsi="Arial"/>
          <w:color w:val="000000"/>
          <w:sz w:val="20"/>
        </w:rPr>
        <w:t>As of June 30, 2025, other operating income amounted to EUR 938 thousand. During the reporting period, other operating income increased by EUR 2,204 thousand to EUR 3,142 thousand as of June 30, 2026. This increase was primarily attributable to higher subsidy income, which totaled EUR 2,905 thousand in the reporting period. The Group’s grants are predominantly obtained from government bodies and European Union programs and are intended to fund research and development expenditures. Additional grants recognized during the period mainly originate from German funding programs.</w:t>
      </w:r>
    </w:p>
    <w:p>
      <w:pPr>
        <w:pStyle w:val="TextBody"/>
        <w:bidi w:val="0"/>
        <w:jc w:val="both"/>
        <w:rPr/>
      </w:pPr>
      <w:r>
        <w:rPr/>
        <w:t> </w:t>
      </w:r>
    </w:p>
    <w:tbl>
      <w:tblPr>
        <w:tblW w:w="8180" w:type="dxa"/>
        <w:jc w:val="left"/>
        <w:tblInd w:w="0" w:type="dxa"/>
        <w:tblLayout w:type="fixed"/>
        <w:tblCellMar>
          <w:top w:w="28" w:type="dxa"/>
          <w:left w:w="28" w:type="dxa"/>
          <w:bottom w:w="28" w:type="dxa"/>
          <w:right w:w="28" w:type="dxa"/>
        </w:tblCellMar>
      </w:tblPr>
      <w:tblGrid>
        <w:gridCol w:w="1966"/>
        <w:gridCol w:w="333"/>
        <w:gridCol w:w="1168"/>
        <w:gridCol w:w="333"/>
        <w:gridCol w:w="333"/>
        <w:gridCol w:w="860"/>
        <w:gridCol w:w="146"/>
        <w:gridCol w:w="314"/>
        <w:gridCol w:w="1099"/>
        <w:gridCol w:w="314"/>
        <w:gridCol w:w="314"/>
        <w:gridCol w:w="809"/>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8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Government grants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QPU income</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lease termination</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1,719</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576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3,142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Arial" w:hAnsi="Arial"/>
          <w:b/>
          <w:color w:val="000000"/>
          <w:sz w:val="28"/>
        </w:rPr>
      </w:pPr>
      <w:r>
        <w:rPr>
          <w:rFonts w:ascii="Arial" w:hAnsi="Arial"/>
          <w:b/>
          <w:color w:val="000000"/>
          <w:sz w:val="28"/>
        </w:rPr>
        <w:t>4.3.</w:t>
      </w:r>
    </w:p>
    <w:p>
      <w:pPr>
        <w:pStyle w:val="TextBody"/>
        <w:bidi w:val="0"/>
        <w:spacing w:before="0" w:after="120"/>
        <w:jc w:val="left"/>
        <w:rPr>
          <w:rFonts w:ascii="Arial" w:hAnsi="Arial"/>
          <w:b/>
          <w:color w:val="000000"/>
          <w:sz w:val="28"/>
        </w:rPr>
      </w:pPr>
      <w:r>
        <w:rPr>
          <w:rFonts w:ascii="Arial" w:hAnsi="Arial"/>
          <w:b/>
          <w:color w:val="000000"/>
          <w:sz w:val="28"/>
        </w:rPr>
        <w:t>Finance Income and Expenses</w:t>
      </w:r>
    </w:p>
    <w:p>
      <w:pPr>
        <w:pStyle w:val="TextBody"/>
        <w:bidi w:val="0"/>
        <w:jc w:val="both"/>
        <w:rPr>
          <w:rFonts w:ascii="Arial" w:hAnsi="Arial"/>
          <w:color w:val="000000"/>
          <w:sz w:val="20"/>
        </w:rPr>
      </w:pPr>
      <w:r>
        <w:rPr>
          <w:rFonts w:ascii="Arial" w:hAnsi="Arial"/>
          <w:color w:val="000000"/>
          <w:sz w:val="20"/>
        </w:rPr>
        <w:t>Finance result for the six-month periods ended June 30, 2026 and June 30, 2025 comprises the following:</w:t>
      </w:r>
    </w:p>
    <w:p>
      <w:pPr>
        <w:pStyle w:val="TextBody"/>
        <w:bidi w:val="0"/>
        <w:jc w:val="both"/>
        <w:rPr/>
      </w:pPr>
      <w:r>
        <w:rPr/>
        <w:t> </w:t>
      </w:r>
    </w:p>
    <w:tbl>
      <w:tblPr>
        <w:tblW w:w="9488" w:type="dxa"/>
        <w:jc w:val="left"/>
        <w:tblInd w:w="0" w:type="dxa"/>
        <w:tblLayout w:type="fixed"/>
        <w:tblCellMar>
          <w:top w:w="28" w:type="dxa"/>
          <w:left w:w="28" w:type="dxa"/>
          <w:bottom w:w="28" w:type="dxa"/>
          <w:right w:w="28" w:type="dxa"/>
        </w:tblCellMar>
      </w:tblPr>
      <w:tblGrid>
        <w:gridCol w:w="3176"/>
        <w:gridCol w:w="333"/>
        <w:gridCol w:w="1168"/>
        <w:gridCol w:w="333"/>
        <w:gridCol w:w="333"/>
        <w:gridCol w:w="860"/>
        <w:gridCol w:w="146"/>
        <w:gridCol w:w="268"/>
        <w:gridCol w:w="1105"/>
        <w:gridCol w:w="268"/>
        <w:gridCol w:w="268"/>
        <w:gridCol w:w="939"/>
        <w:gridCol w:w="291"/>
      </w:tblGrid>
      <w:tr>
        <w:trPr/>
        <w:tc>
          <w:tcPr>
            <w:tcW w:w="31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84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Finance income</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Interest income</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Fair Value gains from financial liabilities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Fair Value gains from financial assets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 financial income</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finance income</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1,700</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5,067</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Finance expense</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Interest expenses from financial liabilities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2,291</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Interest on lease liabilities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Fair Value losses from financial liabilities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3,494</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14,157</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 financial expenses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Exchange rate loss</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finance expense</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7,336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19,400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Arial" w:hAnsi="Arial"/>
          <w:color w:val="000000"/>
          <w:sz w:val="20"/>
        </w:rPr>
      </w:pPr>
      <w:r>
        <w:rPr>
          <w:rFonts w:ascii="Arial" w:hAnsi="Arial"/>
          <w:color w:val="000000"/>
          <w:sz w:val="20"/>
        </w:rPr>
        <w:t>As of June 30, 2025, finance income amounted to EUR 969 thousand. During the reporting period, finance income increased by EUR 4,098 thousand to EUR 5,067 thousand as of June 30, 2026.</w:t>
      </w:r>
    </w:p>
    <w:p>
      <w:pPr>
        <w:pStyle w:val="TextBody"/>
        <w:bidi w:val="0"/>
        <w:spacing w:before="0" w:after="120"/>
        <w:jc w:val="both"/>
        <w:rPr>
          <w:rFonts w:ascii="Arial" w:hAnsi="Arial"/>
          <w:color w:val="000000"/>
          <w:sz w:val="20"/>
        </w:rPr>
      </w:pPr>
      <w:r>
        <w:rPr>
          <w:rFonts w:ascii="Arial" w:hAnsi="Arial"/>
          <w:color w:val="000000"/>
          <w:sz w:val="20"/>
        </w:rPr>
        <w:t>Interest income mainly comprises interest earned on bank account balances. It increased by EUR 349 thousand, from EUR 628 thousand for the six months ended June 30, 2025 to EUR 977 thousand for the six months ended June 30, 2026.</w:t>
      </w:r>
    </w:p>
    <w:p>
      <w:pPr>
        <w:pStyle w:val="TextBody"/>
        <w:bidi w:val="0"/>
        <w:spacing w:before="0" w:after="120"/>
        <w:jc w:val="both"/>
        <w:rPr>
          <w:rFonts w:ascii="Times New Roman" w:hAnsi="Times New Roman"/>
          <w:sz w:val="20"/>
        </w:rPr>
      </w:pPr>
      <w:r>
        <w:rPr>
          <w:rFonts w:ascii="Arial" w:hAnsi="Arial"/>
          <w:color w:val="000000"/>
          <w:sz w:val="20"/>
        </w:rPr>
        <w:t>Finance income is further mainly influenced by fair value gains on derivative financial assets and liabilities, which increased by EUR 3,751 thousand, from fair value gains on financial liabilities of EUR 335 thousand for the six months ended June 30, 2025 to fair value gains on financial assets of EUR 4,086 thousand for the six months ended June 30, 2026. These fair value gains result from the remeasurement of the embedded derivatives 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rFonts w:ascii="Arial" w:hAnsi="Arial"/>
          <w:color w:val="000000"/>
          <w:sz w:val="20"/>
        </w:rPr>
        <w:t xml:space="preserve">private investments in public equity (PIPE) Financing Agreement, which is measured at FVtPL. For more information please see Note </w:t>
      </w:r>
      <w:hyperlink w:anchor="c_financialassets">
        <w:r>
          <w:rPr>
            <w:rStyle w:val="InternetLink"/>
            <w:rFonts w:ascii="Arial" w:hAnsi="Arial"/>
            <w:color w:val="0000FF"/>
            <w:sz w:val="20"/>
            <w:u w:val="single"/>
          </w:rPr>
          <w:t>7.2.</w:t>
        </w:r>
      </w:hyperlink>
    </w:p>
    <w:p>
      <w:pPr>
        <w:pStyle w:val="TextBody"/>
        <w:bidi w:val="0"/>
        <w:spacing w:before="0" w:after="120"/>
        <w:jc w:val="both"/>
        <w:rPr>
          <w:rFonts w:ascii="Arial" w:hAnsi="Arial"/>
          <w:color w:val="000000"/>
          <w:sz w:val="20"/>
        </w:rPr>
      </w:pPr>
      <w:r>
        <w:rPr>
          <w:rFonts w:ascii="Arial" w:hAnsi="Arial"/>
          <w:color w:val="000000"/>
          <w:sz w:val="20"/>
        </w:rPr>
        <w:t>Additionally, changes in the fair value of the investment fund in the amount of EUR 4 thousand are booked as fair value gains on financial assets within the finance income.</w:t>
      </w:r>
    </w:p>
    <w:p>
      <w:pPr>
        <w:pStyle w:val="TextBody"/>
        <w:bidi w:val="0"/>
        <w:spacing w:before="0" w:after="120"/>
        <w:jc w:val="both"/>
        <w:rPr>
          <w:rFonts w:ascii="Arial" w:hAnsi="Arial"/>
          <w:color w:val="000000"/>
          <w:sz w:val="20"/>
        </w:rPr>
      </w:pPr>
      <w:r>
        <w:rPr>
          <w:rFonts w:ascii="Arial" w:hAnsi="Arial"/>
          <w:color w:val="000000"/>
          <w:sz w:val="20"/>
        </w:rPr>
        <w:t>As of June 30, 2025, total finance expenses amounted to EUR 3,850 thousand. During the reporting period, finance income expenses by EUR 15,550 thousand to EUR 19,400 thousand as of June 30, 2026.</w:t>
      </w:r>
    </w:p>
    <w:p>
      <w:pPr>
        <w:pStyle w:val="TextBody"/>
        <w:bidi w:val="0"/>
        <w:spacing w:before="0" w:after="120"/>
        <w:jc w:val="both"/>
        <w:rPr>
          <w:rFonts w:ascii="Arial" w:hAnsi="Arial"/>
          <w:color w:val="000000"/>
          <w:sz w:val="20"/>
        </w:rPr>
      </w:pPr>
      <w:r>
        <w:rPr>
          <w:rFonts w:ascii="Arial" w:hAnsi="Arial"/>
          <w:color w:val="000000"/>
          <w:sz w:val="20"/>
        </w:rPr>
        <w:t>Fair value measurement losses on derivative liabilities increased significantly by EUR 11,335 thousand, from EUR 2,822 thousand for the six months ended June 30, 2025 to EUR 14,157 thousand for the six months ended June 30, 2026. This increase was mainly attributable to the increase in the underlying share price used to measure the conversion feature of the Aalto Loan. The amount also includes fair value measurement losses recognized in respect of the derivative financial liability arising from the Kreos warrants.</w:t>
      </w:r>
    </w:p>
    <w:p>
      <w:pPr>
        <w:pStyle w:val="TextBody"/>
        <w:bidi w:val="0"/>
        <w:spacing w:before="0" w:after="120"/>
        <w:jc w:val="both"/>
        <w:rPr>
          <w:rFonts w:ascii="Arial" w:hAnsi="Arial"/>
          <w:color w:val="000000"/>
          <w:sz w:val="20"/>
        </w:rPr>
      </w:pPr>
      <w:r>
        <w:rPr>
          <w:rFonts w:ascii="Arial" w:hAnsi="Arial"/>
          <w:color w:val="000000"/>
          <w:sz w:val="20"/>
        </w:rPr>
        <w:t>Interest expenses on financial liabilities increased by EUR 1,764 thousand, from EUR 527 thousand for the six months ended June 30, 2025 to EUR 2,291 thousand for the six months ended June 30, 2026. This increase mainly results from the changes in estimated cashflows on the Kreos loan, following the early repayment of the loan effective July 31, 2026.</w:t>
      </w:r>
    </w:p>
    <w:p>
      <w:pPr>
        <w:pStyle w:val="TextBody"/>
        <w:bidi w:val="0"/>
        <w:spacing w:before="0" w:after="120"/>
        <w:jc w:val="both"/>
        <w:rPr>
          <w:rFonts w:ascii="Arial" w:hAnsi="Arial"/>
          <w:color w:val="000000"/>
          <w:sz w:val="20"/>
        </w:rPr>
      </w:pPr>
      <w:r>
        <w:rPr>
          <w:rFonts w:ascii="Arial" w:hAnsi="Arial"/>
          <w:color w:val="000000"/>
          <w:sz w:val="20"/>
        </w:rPr>
        <w:t>Additionally, interest expense on lease liabilities decreased by EUR 31 thousand from EUR 294 thousand for the six months ended June 30, 2025 to EUR 263 thousand for the six months ended June 30, 2026.</w:t>
      </w:r>
    </w:p>
    <w:p>
      <w:pPr>
        <w:pStyle w:val="TextBody"/>
        <w:bidi w:val="0"/>
        <w:spacing w:before="0" w:after="120"/>
        <w:jc w:val="both"/>
        <w:rPr>
          <w:rFonts w:ascii="Arial" w:hAnsi="Arial"/>
          <w:color w:val="000000"/>
          <w:sz w:val="20"/>
        </w:rPr>
      </w:pPr>
      <w:r>
        <w:rPr>
          <w:rFonts w:ascii="Arial" w:hAnsi="Arial"/>
          <w:color w:val="000000"/>
          <w:sz w:val="20"/>
        </w:rPr>
        <w:t>Other financial expenses increased by EUR 2,473 thousand, from EUR 116 thousand for the six months ended June 30, 2025 to EUR 2,589 thousand for the six months ended June 30, 2026. This increase mainly resulted from the derecognition of previously capitalized transaction costs relating to Tranche B of the Kreos Loan Agreement, which will no longer be drawn following the prepayment of Tranche A.</w:t>
      </w:r>
    </w:p>
    <w:p>
      <w:pPr>
        <w:pStyle w:val="TextBody"/>
        <w:bidi w:val="0"/>
        <w:spacing w:before="0" w:after="120"/>
        <w:jc w:val="left"/>
        <w:rPr>
          <w:rFonts w:ascii="Arial" w:hAnsi="Arial"/>
          <w:b/>
          <w:color w:val="000000"/>
          <w:sz w:val="28"/>
        </w:rPr>
      </w:pPr>
      <w:r>
        <w:rPr>
          <w:rFonts w:ascii="Arial" w:hAnsi="Arial"/>
          <w:b/>
          <w:color w:val="000000"/>
          <w:sz w:val="28"/>
        </w:rPr>
        <w:t>4.4.</w:t>
      </w:r>
    </w:p>
    <w:p>
      <w:pPr>
        <w:pStyle w:val="TextBody"/>
        <w:bidi w:val="0"/>
        <w:spacing w:before="0" w:after="120"/>
        <w:jc w:val="left"/>
        <w:rPr>
          <w:rFonts w:ascii="Arial" w:hAnsi="Arial"/>
          <w:b/>
          <w:color w:val="000000"/>
          <w:sz w:val="28"/>
        </w:rPr>
      </w:pPr>
      <w:r>
        <w:rPr>
          <w:rFonts w:ascii="Arial" w:hAnsi="Arial"/>
          <w:b/>
          <w:color w:val="000000"/>
          <w:sz w:val="28"/>
        </w:rPr>
        <w:t>Income tax</w:t>
      </w:r>
    </w:p>
    <w:p>
      <w:pPr>
        <w:pStyle w:val="TextBody"/>
        <w:bidi w:val="0"/>
        <w:spacing w:before="0" w:after="120"/>
        <w:jc w:val="both"/>
        <w:rPr>
          <w:rFonts w:ascii="Times New Roman" w:hAnsi="Times New Roman"/>
          <w:sz w:val="20"/>
        </w:rPr>
      </w:pPr>
      <w:r>
        <w:rPr>
          <w:rFonts w:ascii="Arial" w:hAnsi="Arial"/>
          <w:color w:val="000000"/>
          <w:sz w:val="20"/>
        </w:rPr>
        <w:t>The Group calculates the period income tax expense using the tax rate that would be applicable to the expected total annual earnings. The major components of income tax expense in the interim condensed consolidated statement of loss are:</w:t>
      </w:r>
      <w:r>
        <w:rPr>
          <w:rFonts w:ascii="Times New Roman" w:hAnsi="Times New Roman"/>
          <w:color w:val="000000"/>
          <w:sz w:val="20"/>
        </w:rPr>
        <w:t xml:space="preserve"> </w:t>
      </w:r>
    </w:p>
    <w:p>
      <w:pPr>
        <w:pStyle w:val="TextBody"/>
        <w:bidi w:val="0"/>
        <w:spacing w:before="0" w:after="120"/>
        <w:jc w:val="both"/>
        <w:rPr/>
      </w:pPr>
      <w:r>
        <w:rPr/>
        <w:t> </w:t>
      </w:r>
    </w:p>
    <w:tbl>
      <w:tblPr>
        <w:tblW w:w="8517" w:type="dxa"/>
        <w:jc w:val="left"/>
        <w:tblInd w:w="0" w:type="dxa"/>
        <w:tblLayout w:type="fixed"/>
        <w:tblCellMar>
          <w:top w:w="28" w:type="dxa"/>
          <w:left w:w="28" w:type="dxa"/>
          <w:bottom w:w="28" w:type="dxa"/>
          <w:right w:w="28" w:type="dxa"/>
        </w:tblCellMar>
      </w:tblPr>
      <w:tblGrid>
        <w:gridCol w:w="2266"/>
        <w:gridCol w:w="384"/>
        <w:gridCol w:w="911"/>
        <w:gridCol w:w="437"/>
        <w:gridCol w:w="384"/>
        <w:gridCol w:w="911"/>
        <w:gridCol w:w="166"/>
        <w:gridCol w:w="361"/>
        <w:gridCol w:w="857"/>
        <w:gridCol w:w="411"/>
        <w:gridCol w:w="361"/>
        <w:gridCol w:w="857"/>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302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expenses</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corporate income tax</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expense</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bl>
    <w:p>
      <w:pPr>
        <w:pStyle w:val="TextBody"/>
        <w:bidi w:val="0"/>
        <w:spacing w:before="120" w:after="120"/>
        <w:jc w:val="left"/>
        <w:rPr>
          <w:rFonts w:ascii="Arial" w:hAnsi="Arial"/>
          <w:b/>
          <w:color w:val="000000"/>
          <w:sz w:val="28"/>
        </w:rPr>
      </w:pPr>
      <w:r>
        <w:rPr>
          <w:rFonts w:ascii="Arial" w:hAnsi="Arial"/>
          <w:b/>
          <w:color w:val="000000"/>
          <w:sz w:val="28"/>
        </w:rPr>
        <w:t>4.5.</w:t>
      </w:r>
    </w:p>
    <w:p>
      <w:pPr>
        <w:pStyle w:val="TextBody"/>
        <w:bidi w:val="0"/>
        <w:spacing w:before="120" w:after="120"/>
        <w:jc w:val="left"/>
        <w:rPr>
          <w:rFonts w:ascii="Arial" w:hAnsi="Arial"/>
          <w:b/>
          <w:color w:val="000000"/>
          <w:sz w:val="28"/>
        </w:rPr>
      </w:pPr>
      <w:r>
        <w:rPr>
          <w:rFonts w:ascii="Arial" w:hAnsi="Arial"/>
          <w:b/>
          <w:color w:val="000000"/>
          <w:sz w:val="28"/>
        </w:rPr>
        <w:t>Earnings per share</w:t>
      </w:r>
    </w:p>
    <w:p>
      <w:pPr>
        <w:pStyle w:val="TextBody"/>
        <w:bidi w:val="0"/>
        <w:spacing w:before="0" w:after="120"/>
        <w:jc w:val="both"/>
        <w:rPr>
          <w:rFonts w:ascii="Arial" w:hAnsi="Arial"/>
          <w:color w:val="000000"/>
          <w:sz w:val="20"/>
        </w:rPr>
      </w:pPr>
      <w:r>
        <w:rPr>
          <w:rFonts w:ascii="Arial" w:hAnsi="Arial"/>
          <w:color w:val="000000"/>
          <w:sz w:val="20"/>
        </w:rPr>
        <w:t>The following table reflects the income and share data used in the basic and diluted EPS calculations:</w:t>
      </w:r>
    </w:p>
    <w:tbl>
      <w:tblPr>
        <w:tblW w:w="10205" w:type="dxa"/>
        <w:jc w:val="left"/>
        <w:tblInd w:w="0" w:type="dxa"/>
        <w:tblLayout w:type="fixed"/>
        <w:tblCellMar>
          <w:top w:w="28" w:type="dxa"/>
          <w:left w:w="28" w:type="dxa"/>
          <w:bottom w:w="28" w:type="dxa"/>
          <w:right w:w="28" w:type="dxa"/>
        </w:tblCellMar>
      </w:tblPr>
      <w:tblGrid>
        <w:gridCol w:w="4236"/>
        <w:gridCol w:w="182"/>
        <w:gridCol w:w="1146"/>
        <w:gridCol w:w="207"/>
        <w:gridCol w:w="182"/>
        <w:gridCol w:w="1146"/>
        <w:gridCol w:w="166"/>
        <w:gridCol w:w="173"/>
        <w:gridCol w:w="1090"/>
        <w:gridCol w:w="197"/>
        <w:gridCol w:w="173"/>
        <w:gridCol w:w="1090"/>
        <w:gridCol w:w="217"/>
      </w:tblGrid>
      <w:tr>
        <w:trPr/>
        <w:tc>
          <w:tcPr>
            <w:tcW w:w="42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Earnings per share</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Loss (</w:t>
            </w:r>
            <w:r>
              <w:rPr>
                <w:rFonts w:ascii="Arial" w:hAnsi="Arial"/>
                <w:i/>
                <w:color w:val="000000"/>
                <w:sz w:val="16"/>
              </w:rPr>
              <w:t>in EUR thousand</w:t>
            </w:r>
            <w:r>
              <w:rPr>
                <w:rFonts w:ascii="Arial" w:hAnsi="Arial"/>
                <w:color w:val="000000"/>
                <w:sz w:val="16"/>
              </w:rPr>
              <w:t>) attributable to equity holders of the Company</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(36,554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(34,575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Basic/Diluted weighted average number of</w:t>
              <w:br/>
              <w:t>ordinary shares outstanding</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30,881,526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30,566,520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29,995,323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30,566,520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Basic/Diluted loss per share (EUR/share)</w:t>
              <w:br/>
              <w:t>on total group</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bl>
    <w:p>
      <w:pPr>
        <w:pStyle w:val="TextBody"/>
        <w:bidi w:val="0"/>
        <w:spacing w:before="120" w:after="120"/>
        <w:jc w:val="both"/>
        <w:rPr>
          <w:rFonts w:ascii="Arial" w:hAnsi="Arial"/>
          <w:color w:val="000000"/>
          <w:sz w:val="20"/>
        </w:rPr>
      </w:pPr>
      <w:r>
        <w:rPr>
          <w:rFonts w:ascii="Arial" w:hAnsi="Arial"/>
          <w:color w:val="000000"/>
          <w:sz w:val="20"/>
        </w:rPr>
        <w:t>The share split has been applied retrospectively to the weighted average number of ordinary shares for all periods presented above, including the comparative period ended 30 June 2025.</w:t>
      </w:r>
    </w:p>
    <w:p>
      <w:pPr>
        <w:pStyle w:val="TextBody"/>
        <w:bidi w:val="0"/>
        <w:spacing w:before="0" w:after="120"/>
        <w:jc w:val="both"/>
        <w:rPr/>
      </w:pPr>
      <w:r>
        <w:rPr>
          <w:rFonts w:ascii="Arial" w:hAnsi="Arial"/>
          <w:color w:val="000000"/>
          <w:sz w:val="20"/>
        </w:rPr>
        <w:t xml:space="preserve">As the capital reorganisation took effect only in the last three days of the reporting period, they had only a marginal effect on the weighted average number of ordinary shares, notwithstanding the substantial increase in ordinary shares issued and outstanding (excluding treasury shares) by the end of the period. Upon completion of the business combination on 1 July 2026, the newly issued 102,700,000 treasury shares were used, in part, as consideration for RAAQ shareholders and PIPE investors and ceased to be treasury shares. Refer to Note </w:t>
      </w:r>
      <w:hyperlink w:anchor="equity">
        <w:r>
          <w:rPr>
            <w:rStyle w:val="InternetLink"/>
            <w:rFonts w:ascii="Arial" w:hAnsi="Arial"/>
            <w:color w:val="0000FF"/>
            <w:sz w:val="20"/>
            <w:u w:val="single"/>
          </w:rPr>
          <w:t>6</w:t>
        </w:r>
      </w:hyperlink>
      <w:r>
        <w:rPr>
          <w:rFonts w:ascii="Times New Roman" w:hAnsi="Times New Roman"/>
          <w:color w:val="000000"/>
          <w:sz w:val="20"/>
        </w:rPr>
        <w:t xml:space="preserve"> </w:t>
      </w:r>
      <w:r>
        <w:rPr>
          <w:rFonts w:ascii="Arial" w:hAnsi="Arial"/>
          <w:color w:val="000000"/>
          <w:sz w:val="20"/>
        </w:rPr>
        <w:t>for details of the conversion of preferred shares into ordinary shares (effective 28 June 2026) and the share split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rFonts w:ascii="Arial" w:hAnsi="Arial"/>
          <w:color w:val="000000"/>
          <w:sz w:val="20"/>
        </w:rPr>
        <w:t xml:space="preserve">(effective 29 June 2026), and to Note </w:t>
      </w:r>
      <w:hyperlink w:anchor="events_aft_report_date">
        <w:r>
          <w:rPr>
            <w:rStyle w:val="InternetLink"/>
            <w:rFonts w:ascii="Arial" w:hAnsi="Arial"/>
            <w:color w:val="0000FF"/>
            <w:sz w:val="20"/>
            <w:u w:val="single"/>
          </w:rPr>
          <w:t>12</w:t>
        </w:r>
      </w:hyperlink>
      <w:r>
        <w:rPr>
          <w:rFonts w:ascii="Times New Roman" w:hAnsi="Times New Roman"/>
          <w:color w:val="000000"/>
          <w:sz w:val="20"/>
        </w:rPr>
        <w:t xml:space="preserve"> </w:t>
      </w:r>
      <w:r>
        <w:rPr>
          <w:rFonts w:ascii="Arial" w:hAnsi="Arial"/>
          <w:color w:val="000000"/>
          <w:sz w:val="20"/>
        </w:rPr>
        <w:t>"Events after the reporting date" for details of the completion of the business combination with Real Asset Acquisition Corp. ("RAAQ") on 1 July 2026 and the related listings on Nasdaq and Nasdaq Helsinki.</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5.</w:t>
      </w:r>
    </w:p>
    <w:p>
      <w:pPr>
        <w:pStyle w:val="TextBody"/>
        <w:bidi w:val="0"/>
        <w:spacing w:before="120" w:after="120"/>
        <w:jc w:val="left"/>
        <w:rPr>
          <w:rFonts w:ascii="Arial" w:hAnsi="Arial"/>
          <w:b/>
          <w:color w:val="000000"/>
          <w:sz w:val="36"/>
        </w:rPr>
      </w:pPr>
      <w:r>
        <w:rPr>
          <w:rFonts w:ascii="Arial" w:hAnsi="Arial"/>
          <w:b/>
          <w:color w:val="000000"/>
          <w:sz w:val="36"/>
        </w:rPr>
        <w:t>Non-financial assets and liabilities</w:t>
      </w:r>
    </w:p>
    <w:p>
      <w:pPr>
        <w:pStyle w:val="TextBody"/>
        <w:bidi w:val="0"/>
        <w:spacing w:before="0" w:after="120"/>
        <w:jc w:val="left"/>
        <w:rPr>
          <w:rFonts w:ascii="Arial" w:hAnsi="Arial"/>
          <w:b/>
          <w:color w:val="000000"/>
          <w:sz w:val="28"/>
        </w:rPr>
      </w:pPr>
      <w:r>
        <w:rPr>
          <w:rFonts w:ascii="Arial" w:hAnsi="Arial"/>
          <w:b/>
          <w:color w:val="000000"/>
          <w:sz w:val="28"/>
        </w:rPr>
        <w:t>5.1.</w:t>
      </w:r>
    </w:p>
    <w:p>
      <w:pPr>
        <w:pStyle w:val="TextBody"/>
        <w:bidi w:val="0"/>
        <w:spacing w:before="0" w:after="120"/>
        <w:jc w:val="left"/>
        <w:rPr>
          <w:rFonts w:ascii="Arial" w:hAnsi="Arial"/>
          <w:b/>
          <w:color w:val="000000"/>
          <w:sz w:val="28"/>
        </w:rPr>
      </w:pPr>
      <w:r>
        <w:rPr>
          <w:rFonts w:ascii="Arial" w:hAnsi="Arial"/>
          <w:b/>
          <w:color w:val="000000"/>
          <w:sz w:val="28"/>
        </w:rPr>
        <w:t>Intangible assets</w:t>
      </w:r>
    </w:p>
    <w:p>
      <w:pPr>
        <w:pStyle w:val="TextBody"/>
        <w:bidi w:val="0"/>
        <w:spacing w:before="0" w:after="120"/>
        <w:jc w:val="both"/>
        <w:rPr>
          <w:rFonts w:ascii="Arial" w:hAnsi="Arial"/>
          <w:color w:val="000000"/>
          <w:sz w:val="20"/>
        </w:rPr>
      </w:pPr>
      <w:r>
        <w:rPr>
          <w:rFonts w:ascii="Arial" w:hAnsi="Arial"/>
          <w:color w:val="000000"/>
          <w:sz w:val="20"/>
        </w:rPr>
        <w:t>The cost of patents remained unchanged at EUR 1,577 thousand as of June 30, 2026 (June 30, 2025: EUR 1,577 thousand). No additions or disposals were recognized during the reporting periods.</w:t>
      </w:r>
    </w:p>
    <w:p>
      <w:pPr>
        <w:pStyle w:val="TextBody"/>
        <w:bidi w:val="0"/>
        <w:spacing w:before="0" w:after="120"/>
        <w:jc w:val="both"/>
        <w:rPr>
          <w:rFonts w:ascii="Arial" w:hAnsi="Arial"/>
          <w:color w:val="000000"/>
          <w:sz w:val="20"/>
        </w:rPr>
      </w:pPr>
      <w:r>
        <w:rPr>
          <w:rFonts w:ascii="Arial" w:hAnsi="Arial"/>
          <w:color w:val="000000"/>
          <w:sz w:val="20"/>
        </w:rPr>
        <w:t>Cumulative amortization and impairment losses amounted to EUR 736 thousand as of June 30, 2026 (December 31, 2025: EUR 657 thousand). Amortization expense recognized during the reporting period amounted to EUR 79 thousand (June 30, 2025: EUR 79 thousand).</w:t>
      </w:r>
    </w:p>
    <w:p>
      <w:pPr>
        <w:pStyle w:val="TextBody"/>
        <w:bidi w:val="0"/>
        <w:spacing w:before="0" w:after="120"/>
        <w:jc w:val="both"/>
        <w:rPr>
          <w:rFonts w:ascii="Arial" w:hAnsi="Arial"/>
          <w:color w:val="000000"/>
          <w:sz w:val="20"/>
        </w:rPr>
      </w:pPr>
      <w:r>
        <w:rPr>
          <w:rFonts w:ascii="Arial" w:hAnsi="Arial"/>
          <w:color w:val="000000"/>
          <w:sz w:val="20"/>
        </w:rPr>
        <w:t>As a result, the carrying amount of patents decreased to EUR 841 thousand as of June 30, 2026 (December 31, 2025: EUR 920 thousand).</w:t>
      </w:r>
    </w:p>
    <w:p>
      <w:pPr>
        <w:pStyle w:val="TextBody"/>
        <w:bidi w:val="0"/>
        <w:spacing w:before="0" w:after="120"/>
        <w:jc w:val="both"/>
        <w:rPr>
          <w:rFonts w:ascii="Arial" w:hAnsi="Arial"/>
          <w:color w:val="000000"/>
          <w:sz w:val="20"/>
        </w:rPr>
      </w:pPr>
      <w:r>
        <w:rPr>
          <w:rFonts w:ascii="Arial" w:hAnsi="Arial"/>
          <w:color w:val="000000"/>
          <w:sz w:val="20"/>
        </w:rPr>
        <w:t>In the reporting period and in the fiscal year 2025, no impairment losses were recognized.</w:t>
      </w:r>
    </w:p>
    <w:p>
      <w:pPr>
        <w:pStyle w:val="TextBody"/>
        <w:bidi w:val="0"/>
        <w:spacing w:before="0" w:after="120"/>
        <w:jc w:val="left"/>
        <w:rPr>
          <w:rFonts w:ascii="Arial" w:hAnsi="Arial"/>
          <w:b/>
          <w:color w:val="000000"/>
          <w:sz w:val="28"/>
        </w:rPr>
      </w:pPr>
      <w:r>
        <w:rPr>
          <w:rFonts w:ascii="Arial" w:hAnsi="Arial"/>
          <w:b/>
          <w:color w:val="000000"/>
          <w:sz w:val="28"/>
        </w:rPr>
        <w:t>5.2.</w:t>
      </w:r>
    </w:p>
    <w:p>
      <w:pPr>
        <w:pStyle w:val="TextBody"/>
        <w:bidi w:val="0"/>
        <w:spacing w:before="0" w:after="120"/>
        <w:jc w:val="left"/>
        <w:rPr>
          <w:rFonts w:ascii="Arial" w:hAnsi="Arial"/>
          <w:b/>
          <w:color w:val="000000"/>
          <w:sz w:val="28"/>
        </w:rPr>
      </w:pPr>
      <w:r>
        <w:rPr>
          <w:rFonts w:ascii="Arial" w:hAnsi="Arial"/>
          <w:b/>
          <w:color w:val="000000"/>
          <w:sz w:val="28"/>
        </w:rPr>
        <w:t>Property, plant and equipment</w:t>
      </w:r>
    </w:p>
    <w:p>
      <w:pPr>
        <w:pStyle w:val="TextBody"/>
        <w:bidi w:val="0"/>
        <w:spacing w:before="0" w:after="120"/>
        <w:jc w:val="both"/>
        <w:rPr>
          <w:rFonts w:ascii="Arial" w:hAnsi="Arial"/>
          <w:color w:val="000000"/>
          <w:sz w:val="20"/>
        </w:rPr>
      </w:pPr>
      <w:r>
        <w:rPr>
          <w:rFonts w:ascii="Arial" w:hAnsi="Arial"/>
          <w:color w:val="000000"/>
          <w:sz w:val="20"/>
        </w:rPr>
        <w:t>During the six months ended June 30, 2026, the Group acquired assets with a cost of EUR 7,159 thousand (June 30, 2025: EUR 2,735 thousand). Of this amount, EUR 6,430 thousand relates to leasehold improvements, EUR 1,715 thousand relates to machinery and equipment, EUR 181 thousand relates to office and other equipment and EUR 106 thousand to advance payments.</w:t>
      </w:r>
    </w:p>
    <w:p>
      <w:pPr>
        <w:pStyle w:val="TextBody"/>
        <w:bidi w:val="0"/>
        <w:spacing w:before="0" w:after="120"/>
        <w:jc w:val="left"/>
        <w:rPr>
          <w:rFonts w:ascii="Arial" w:hAnsi="Arial"/>
          <w:b/>
          <w:color w:val="000000"/>
          <w:sz w:val="28"/>
        </w:rPr>
      </w:pPr>
      <w:r>
        <w:rPr>
          <w:rFonts w:ascii="Arial" w:hAnsi="Arial"/>
          <w:b/>
          <w:color w:val="000000"/>
          <w:sz w:val="28"/>
        </w:rPr>
        <w:t>5.3.</w:t>
      </w:r>
    </w:p>
    <w:p>
      <w:pPr>
        <w:pStyle w:val="TextBody"/>
        <w:bidi w:val="0"/>
        <w:spacing w:before="0" w:after="120"/>
        <w:jc w:val="left"/>
        <w:rPr>
          <w:rFonts w:ascii="Arial" w:hAnsi="Arial"/>
          <w:b/>
          <w:color w:val="000000"/>
          <w:sz w:val="28"/>
        </w:rPr>
      </w:pPr>
      <w:r>
        <w:rPr>
          <w:rFonts w:ascii="Arial" w:hAnsi="Arial"/>
          <w:b/>
          <w:color w:val="000000"/>
          <w:sz w:val="28"/>
        </w:rPr>
        <w:t>Leases</w:t>
      </w:r>
    </w:p>
    <w:p>
      <w:pPr>
        <w:pStyle w:val="TextBody"/>
        <w:bidi w:val="0"/>
        <w:spacing w:before="0" w:after="120"/>
        <w:jc w:val="both"/>
        <w:rPr>
          <w:rFonts w:ascii="Arial" w:hAnsi="Arial"/>
          <w:color w:val="000000"/>
          <w:sz w:val="20"/>
        </w:rPr>
      </w:pPr>
      <w:r>
        <w:rPr>
          <w:rFonts w:ascii="Arial" w:hAnsi="Arial"/>
          <w:color w:val="000000"/>
          <w:sz w:val="20"/>
        </w:rPr>
        <w:t>For the six-month period ended June 30, 2026, the Group recognized additions to right-of-use assets and lease liabilities amounting to EUR 308 thousand.</w:t>
      </w:r>
    </w:p>
    <w:p>
      <w:pPr>
        <w:pStyle w:val="TextBody"/>
        <w:bidi w:val="0"/>
        <w:spacing w:before="0" w:after="120"/>
        <w:jc w:val="both"/>
        <w:rPr>
          <w:rFonts w:ascii="Arial" w:hAnsi="Arial"/>
          <w:color w:val="000000"/>
          <w:sz w:val="20"/>
        </w:rPr>
      </w:pPr>
      <w:r>
        <w:rPr>
          <w:rFonts w:ascii="Arial" w:hAnsi="Arial"/>
          <w:color w:val="000000"/>
          <w:sz w:val="20"/>
        </w:rPr>
        <w:t>As of December 31, 2025, right-of-use assets amounted to EUR 10,949 thousand. During the six months ended June 30, 2026, right-of-use assets decreased by EUR 905 thousand to EUR 10,044 thousand. For the six months ended June 30, 2026, depreciation of right-of-use assets amounted to EUR 1,207 thousand. For the three months ended June 30, 2026, depreciation of right-of-use assets amounted to EUR 606 thousand.</w:t>
      </w:r>
    </w:p>
    <w:p>
      <w:pPr>
        <w:pStyle w:val="TextBody"/>
        <w:bidi w:val="0"/>
        <w:spacing w:before="0" w:after="120"/>
        <w:jc w:val="both"/>
        <w:rPr>
          <w:rFonts w:ascii="Arial" w:hAnsi="Arial"/>
          <w:color w:val="000000"/>
          <w:sz w:val="20"/>
        </w:rPr>
      </w:pPr>
      <w:r>
        <w:rPr>
          <w:rFonts w:ascii="Arial" w:hAnsi="Arial"/>
          <w:color w:val="000000"/>
          <w:sz w:val="20"/>
        </w:rPr>
        <w:t>As of December 31, 2025, lease liabilities amounted to EUR 14,660 thousand. During the six months ended June 30, 2026, lease liabilities decreased by EUR 1,013 thousand to EUR 13,646 thousand. For the six months ended June 30, 2026, repayments of lease liabilities amounted to EUR 1,310 thousand and interest paid on lease liabilities amounted to EUR 263 thousand. For the three months ended June 30, 2026, repayments of lease liabilities amounted to EUR 665 thousand and interest paid on lease liabilities amounted to EUR 130 thousand.</w:t>
      </w:r>
    </w:p>
    <w:p>
      <w:pPr>
        <w:pStyle w:val="TextBody"/>
        <w:bidi w:val="0"/>
        <w:spacing w:before="0" w:after="120"/>
        <w:jc w:val="left"/>
        <w:rPr>
          <w:rFonts w:ascii="Arial" w:hAnsi="Arial"/>
          <w:b/>
          <w:color w:val="000000"/>
          <w:sz w:val="28"/>
        </w:rPr>
      </w:pPr>
      <w:r>
        <w:rPr>
          <w:rFonts w:ascii="Arial" w:hAnsi="Arial"/>
          <w:b/>
          <w:color w:val="000000"/>
          <w:sz w:val="28"/>
        </w:rPr>
        <w:t>5.4.</w:t>
      </w:r>
    </w:p>
    <w:p>
      <w:pPr>
        <w:pStyle w:val="TextBody"/>
        <w:bidi w:val="0"/>
        <w:spacing w:before="0" w:after="120"/>
        <w:jc w:val="left"/>
        <w:rPr>
          <w:rFonts w:ascii="Arial" w:hAnsi="Arial"/>
          <w:b/>
          <w:color w:val="000000"/>
          <w:sz w:val="28"/>
        </w:rPr>
      </w:pPr>
      <w:r>
        <w:rPr>
          <w:rFonts w:ascii="Arial" w:hAnsi="Arial"/>
          <w:b/>
          <w:color w:val="000000"/>
          <w:sz w:val="28"/>
        </w:rPr>
        <w:t>Inventories</w:t>
      </w:r>
    </w:p>
    <w:p>
      <w:pPr>
        <w:pStyle w:val="TextBody"/>
        <w:bidi w:val="0"/>
        <w:spacing w:before="0" w:after="120"/>
        <w:jc w:val="both"/>
        <w:rPr>
          <w:rFonts w:ascii="Arial" w:hAnsi="Arial"/>
          <w:color w:val="000000"/>
          <w:sz w:val="20"/>
        </w:rPr>
      </w:pPr>
      <w:r>
        <w:rPr>
          <w:rFonts w:ascii="Arial" w:hAnsi="Arial"/>
          <w:color w:val="000000"/>
          <w:sz w:val="20"/>
        </w:rPr>
        <w:t>As of December 31, 2025, inventories amounted to EUR 13,491 thousand. During the reporting period, inventories increased by EUR 11,961 thousand to EUR 25,452 thousand as of June 30, 2026. The increase was primarily driven by higher acquisitions of raw materials and other consumables required for production in the amount of EUR 12,012 thousand. This development reflects the Group's ongoing procurement activities to support current production and long-term business requirements. It was also influenced by higher procurement costs for memory components resulting from increased global demand and broader macroeconomic uncertainties. While the Group continues to monitor input cost developments and seeks to mitigate their impact through commercial measures, sustained increases in the cost of key components could have an adverse effect on future margins to the extent they cannot be passed on to customers.</w:t>
      </w:r>
    </w:p>
    <w:p>
      <w:pPr>
        <w:pStyle w:val="TextBody"/>
        <w:bidi w:val="0"/>
        <w:spacing w:before="0" w:after="120"/>
        <w:jc w:val="left"/>
        <w:rPr>
          <w:rFonts w:ascii="Arial" w:hAnsi="Arial"/>
          <w:b/>
          <w:color w:val="000000"/>
          <w:sz w:val="28"/>
        </w:rPr>
      </w:pPr>
      <w:r>
        <w:rPr>
          <w:rFonts w:ascii="Arial" w:hAnsi="Arial"/>
          <w:b/>
          <w:color w:val="000000"/>
          <w:sz w:val="28"/>
        </w:rPr>
        <w:t>5.5.</w:t>
      </w:r>
    </w:p>
    <w:p>
      <w:pPr>
        <w:pStyle w:val="TextBody"/>
        <w:bidi w:val="0"/>
        <w:spacing w:before="0" w:after="120"/>
        <w:jc w:val="left"/>
        <w:rPr>
          <w:rFonts w:ascii="Arial" w:hAnsi="Arial"/>
          <w:b/>
          <w:color w:val="000000"/>
          <w:sz w:val="28"/>
        </w:rPr>
      </w:pPr>
      <w:r>
        <w:rPr>
          <w:rFonts w:ascii="Arial" w:hAnsi="Arial"/>
          <w:b/>
          <w:color w:val="000000"/>
          <w:sz w:val="28"/>
        </w:rPr>
        <w:t>Other current assets</w:t>
      </w:r>
    </w:p>
    <w:p>
      <w:pPr>
        <w:pStyle w:val="TextBody"/>
        <w:bidi w:val="0"/>
        <w:spacing w:before="0" w:after="120"/>
        <w:jc w:val="both"/>
        <w:rPr>
          <w:rFonts w:ascii="Arial" w:hAnsi="Arial"/>
          <w:color w:val="000000"/>
          <w:sz w:val="20"/>
        </w:rPr>
      </w:pPr>
      <w:r>
        <w:rPr>
          <w:rFonts w:ascii="Arial" w:hAnsi="Arial"/>
          <w:color w:val="000000"/>
          <w:sz w:val="20"/>
        </w:rPr>
        <w:t>As of December 31, 2025, other current assets amounted to EUR 2,371 thousand. During the reporting period, they increased by EUR 9,188 thousand to EUR 11,559 thousand as of June 30, 2026. The increase was primarily driven due to increased advance payments made for raw materials, components, and other production-related goods to vendors required for future delivery in the amount of EUR 8,466 thousand. These prepayments relate exclusively to goods and services intended for use in production and subsequent sale, rather than long-term capital expenditure or internal asset development.</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On June 9, 2026, the Company entered into a settlement agreement to terminate a supply agreement for the purchase of an industrial system under development. The system refers to automated testing equipment used to characterize and validate the performance of quantum chips, verifying that qubits function correctly before deployment. At the date of termination, the system was recognized within other assets at a carrying amount of EUR 1,000 thousand which corresponds to the refund of EUR 1,000 thousand the Company is entitled to. The system was derecognized at its carrying amount, resulting in no gain or loss on derecognition.</w:t>
      </w:r>
    </w:p>
    <w:p>
      <w:pPr>
        <w:pStyle w:val="TextBody"/>
        <w:bidi w:val="0"/>
        <w:spacing w:before="0" w:after="120"/>
        <w:jc w:val="left"/>
        <w:rPr>
          <w:rFonts w:ascii="Arial" w:hAnsi="Arial"/>
          <w:b/>
          <w:color w:val="000000"/>
          <w:sz w:val="28"/>
        </w:rPr>
      </w:pPr>
      <w:r>
        <w:rPr>
          <w:rFonts w:ascii="Arial" w:hAnsi="Arial"/>
          <w:b/>
          <w:color w:val="000000"/>
          <w:sz w:val="28"/>
        </w:rPr>
        <w:t>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Arial" w:hAnsi="Arial"/>
          <w:b/>
          <w:color w:val="000000"/>
          <w:sz w:val="28"/>
        </w:rPr>
      </w:pPr>
      <w:r>
        <w:rPr>
          <w:rFonts w:ascii="Arial" w:hAnsi="Arial"/>
          <w:b/>
          <w:color w:val="000000"/>
          <w:sz w:val="28"/>
        </w:rPr>
        <w:t>Share-based payment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Arial" w:hAnsi="Arial"/>
          <w:color w:val="000000"/>
          <w:sz w:val="20"/>
        </w:rPr>
      </w:pPr>
      <w:r>
        <w:rPr>
          <w:rFonts w:ascii="Arial" w:hAnsi="Arial"/>
          <w:color w:val="000000"/>
          <w:sz w:val="20"/>
        </w:rPr>
        <w:t>IQM has an Employee Stock Ownership Plan (ESOP) in place to provide long-term incentives to its employees and selected service providers. The program was initiated in 2019 and grants share options that entitle participants to acquire IQM shares upon exercise.</w:t>
      </w:r>
    </w:p>
    <w:p>
      <w:pPr>
        <w:pStyle w:val="TextBody"/>
        <w:bidi w:val="0"/>
        <w:spacing w:before="0" w:after="120"/>
        <w:jc w:val="both"/>
        <w:rPr>
          <w:rFonts w:ascii="Arial" w:hAnsi="Arial"/>
          <w:color w:val="000000"/>
          <w:sz w:val="20"/>
        </w:rPr>
      </w:pPr>
      <w:r>
        <w:rPr>
          <w:rFonts w:ascii="Arial" w:hAnsi="Arial"/>
          <w:color w:val="000000"/>
          <w:sz w:val="20"/>
        </w:rPr>
        <w:t>The share options are subject to graded vesting: 25% vest one year after the grant date, with the remaining 75% vesting in equal monthly installments (1/48th) over the following three years. Full vesting is conditional upon continuous employment with IQM throughout the vesting period.</w:t>
      </w:r>
    </w:p>
    <w:p>
      <w:pPr>
        <w:pStyle w:val="TextBody"/>
        <w:bidi w:val="0"/>
        <w:spacing w:before="0" w:after="120"/>
        <w:jc w:val="both"/>
        <w:rPr>
          <w:rFonts w:ascii="Arial" w:hAnsi="Arial"/>
          <w:color w:val="000000"/>
          <w:sz w:val="20"/>
        </w:rPr>
      </w:pPr>
      <w:r>
        <w:rPr>
          <w:rFonts w:ascii="Arial" w:hAnsi="Arial"/>
          <w:color w:val="000000"/>
          <w:sz w:val="20"/>
        </w:rPr>
        <w:t>The options become exercisable four years after the grant date and can be exercised at latest 14 years after beginning of the subscription period.</w:t>
      </w:r>
    </w:p>
    <w:p>
      <w:pPr>
        <w:pStyle w:val="TextBody"/>
        <w:bidi w:val="0"/>
        <w:spacing w:before="0" w:after="120"/>
        <w:jc w:val="both"/>
        <w:rPr>
          <w:rFonts w:ascii="Arial" w:hAnsi="Arial"/>
          <w:color w:val="000000"/>
          <w:sz w:val="20"/>
        </w:rPr>
      </w:pPr>
      <w:r>
        <w:rPr>
          <w:rFonts w:ascii="Arial" w:hAnsi="Arial"/>
          <w:color w:val="000000"/>
          <w:sz w:val="20"/>
        </w:rPr>
        <w:t>As of the reporting date, 18,997,400 share options were outstanding (June 30, 2025: 11,849,085), with a weighted average remaining contractual life of 12.87 years (June 30, 2025: 12.70 years) and a weighted average fair value of EUR 3.13 per option (June 30, 2025: EUR 1.42). Of the outstanding options 154,302 (June 30, 2025: 154,302) were granted to external service providers. Of the newly granted options 1,157,278 were granted to Key Management Personnel (June 30, 2025: 0).</w:t>
      </w:r>
    </w:p>
    <w:tbl>
      <w:tblPr>
        <w:tblW w:w="10205" w:type="dxa"/>
        <w:jc w:val="left"/>
        <w:tblInd w:w="0" w:type="dxa"/>
        <w:tblLayout w:type="fixed"/>
        <w:tblCellMar>
          <w:top w:w="28" w:type="dxa"/>
          <w:left w:w="28" w:type="dxa"/>
          <w:bottom w:w="28" w:type="dxa"/>
          <w:right w:w="28" w:type="dxa"/>
        </w:tblCellMar>
      </w:tblPr>
      <w:tblGrid>
        <w:gridCol w:w="2282"/>
        <w:gridCol w:w="191"/>
        <w:gridCol w:w="1206"/>
        <w:gridCol w:w="166"/>
        <w:gridCol w:w="573"/>
        <w:gridCol w:w="1654"/>
        <w:gridCol w:w="146"/>
        <w:gridCol w:w="191"/>
        <w:gridCol w:w="1206"/>
        <w:gridCol w:w="166"/>
        <w:gridCol w:w="573"/>
        <w:gridCol w:w="1654"/>
        <w:gridCol w:w="197"/>
      </w:tblGrid>
      <w:tr>
        <w:trPr/>
        <w:tc>
          <w:tcPr>
            <w:tcW w:w="2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Weighted-average exercise price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at January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14,137,409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11,702,592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Granted during the year</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5,139,087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Exercised during the year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Forfeited during the year</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at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18,997,400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11,849,085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Vested and exercisable at December 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6,227,025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3,772,341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1.39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ESOP is classified as an equity-settled share-based payment transaction, as it is settled in equity instruments.</w:t>
      </w:r>
    </w:p>
    <w:p>
      <w:pPr>
        <w:pStyle w:val="TextBody"/>
        <w:bidi w:val="0"/>
        <w:spacing w:before="0" w:after="120"/>
        <w:jc w:val="both"/>
        <w:rPr>
          <w:rFonts w:ascii="Arial" w:hAnsi="Arial"/>
          <w:color w:val="000000"/>
          <w:sz w:val="20"/>
        </w:rPr>
      </w:pPr>
      <w:r>
        <w:rPr>
          <w:rFonts w:ascii="Arial" w:hAnsi="Arial"/>
          <w:color w:val="000000"/>
          <w:sz w:val="20"/>
        </w:rPr>
        <w:t>The fair value of the share options is determined using a Black-Scholes option pricing model. Service conditions are not considered in the fair value measurement but are reflected in the recognition of the expense over the vesting period.</w:t>
      </w:r>
    </w:p>
    <w:p>
      <w:pPr>
        <w:pStyle w:val="TextBody"/>
        <w:bidi w:val="0"/>
        <w:spacing w:before="0" w:after="120"/>
        <w:jc w:val="both"/>
        <w:rPr>
          <w:rFonts w:ascii="Arial" w:hAnsi="Arial"/>
          <w:color w:val="000000"/>
          <w:sz w:val="20"/>
        </w:rPr>
      </w:pPr>
      <w:r>
        <w:rPr>
          <w:rFonts w:ascii="Arial" w:hAnsi="Arial"/>
          <w:color w:val="000000"/>
          <w:sz w:val="20"/>
        </w:rPr>
        <w:t>The fair value of the grants is only measured at grant date and is recorded over the vesting period in profit and loss and the capital reserve.</w:t>
      </w:r>
    </w:p>
    <w:p>
      <w:pPr>
        <w:pStyle w:val="TextBody"/>
        <w:bidi w:val="0"/>
        <w:spacing w:before="0" w:after="120"/>
        <w:jc w:val="both"/>
        <w:rPr>
          <w:rFonts w:ascii="Arial" w:hAnsi="Arial"/>
          <w:color w:val="000000"/>
          <w:sz w:val="20"/>
        </w:rPr>
      </w:pPr>
      <w:r>
        <w:rPr>
          <w:rFonts w:ascii="Arial" w:hAnsi="Arial"/>
          <w:color w:val="000000"/>
          <w:sz w:val="20"/>
        </w:rPr>
        <w:t>The following parameters were used as basis for the fair value measurement in the reporting periods:</w:t>
      </w:r>
    </w:p>
    <w:tbl>
      <w:tblPr>
        <w:tblW w:w="9072" w:type="dxa"/>
        <w:jc w:val="left"/>
        <w:tblInd w:w="0" w:type="dxa"/>
        <w:tblLayout w:type="fixed"/>
        <w:tblCellMar>
          <w:top w:w="28" w:type="dxa"/>
          <w:left w:w="28" w:type="dxa"/>
          <w:bottom w:w="28" w:type="dxa"/>
          <w:right w:w="28" w:type="dxa"/>
        </w:tblCellMar>
      </w:tblPr>
      <w:tblGrid>
        <w:gridCol w:w="1921"/>
        <w:gridCol w:w="397"/>
        <w:gridCol w:w="1148"/>
        <w:gridCol w:w="558"/>
        <w:gridCol w:w="318"/>
        <w:gridCol w:w="918"/>
        <w:gridCol w:w="256"/>
        <w:gridCol w:w="397"/>
        <w:gridCol w:w="1148"/>
        <w:gridCol w:w="525"/>
        <w:gridCol w:w="305"/>
        <w:gridCol w:w="880"/>
        <w:gridCol w:w="301"/>
      </w:tblGrid>
      <w:tr>
        <w:trPr/>
        <w:tc>
          <w:tcPr>
            <w:tcW w:w="19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Fair value at grant date</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7,2 - 7,53</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7,11 - 7,53</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3,56 - 3,65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price at grant date</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8.78</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8,49 - 8,78</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4,92 - 4,92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price</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4,92 - 7,54</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4,92 - 7,54</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4,26 - 4,92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Expected volatility</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126,83% - 128,77%</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126,83% - 128,77%</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Expected life (years)</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3,75 - 4,00</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3,75 - 4,00</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Expected dividend yield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0.00</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Risk-free interest rate</w:t>
            </w:r>
          </w:p>
        </w:tc>
        <w:tc>
          <w:tcPr>
            <w:tcW w:w="15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 - 2,64%</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 - 2,64%</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 - 2,21%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In addition, following the reporting date, the share price was reassessed based on the business combination agreement and the PIPE financing agreements, as these subsequent transactions provided a new contemporaneous reference point for the Company's equity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value. Based on the observable transaction pricing resulting from these subsequent events, an updated share price was derived.</w:t>
      </w:r>
    </w:p>
    <w:tbl>
      <w:tblPr>
        <w:tblW w:w="10205" w:type="dxa"/>
        <w:jc w:val="left"/>
        <w:tblInd w:w="0" w:type="dxa"/>
        <w:tblLayout w:type="fixed"/>
        <w:tblCellMar>
          <w:top w:w="28" w:type="dxa"/>
          <w:left w:w="28" w:type="dxa"/>
          <w:bottom w:w="28" w:type="dxa"/>
          <w:right w:w="28" w:type="dxa"/>
        </w:tblCellMar>
      </w:tblPr>
      <w:tblGrid>
        <w:gridCol w:w="4526"/>
        <w:gridCol w:w="274"/>
        <w:gridCol w:w="960"/>
        <w:gridCol w:w="274"/>
        <w:gridCol w:w="274"/>
        <w:gridCol w:w="960"/>
        <w:gridCol w:w="146"/>
        <w:gridCol w:w="259"/>
        <w:gridCol w:w="908"/>
        <w:gridCol w:w="259"/>
        <w:gridCol w:w="259"/>
        <w:gridCol w:w="908"/>
        <w:gridCol w:w="198"/>
      </w:tblGrid>
      <w:tr>
        <w:trPr/>
        <w:tc>
          <w:tcPr>
            <w:tcW w:w="45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59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 arising from equity-settled share-based payment transactions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5,495</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1,318</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8,827</w:t>
            </w:r>
          </w:p>
        </w:tc>
        <w:tc>
          <w:tcPr>
            <w:tcW w:w="25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5,495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1,318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8,827</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2,334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59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2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expenses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 expenses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expenses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2,646</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879</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3,902</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5,495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1,318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8,827</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2,334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b/>
          <w:color w:val="000000"/>
          <w:sz w:val="28"/>
        </w:rPr>
      </w:pPr>
      <w:r>
        <w:rPr>
          <w:rFonts w:ascii="Arial" w:hAnsi="Arial"/>
          <w:b/>
          <w:color w:val="000000"/>
          <w:sz w:val="28"/>
        </w:rPr>
        <w:t>5.7.</w:t>
      </w:r>
    </w:p>
    <w:p>
      <w:pPr>
        <w:pStyle w:val="TextBody"/>
        <w:bidi w:val="0"/>
        <w:spacing w:before="120" w:after="120"/>
        <w:jc w:val="left"/>
        <w:rPr>
          <w:rFonts w:ascii="Arial" w:hAnsi="Arial"/>
          <w:b/>
          <w:color w:val="000000"/>
          <w:sz w:val="28"/>
        </w:rPr>
      </w:pPr>
      <w:r>
        <w:rPr>
          <w:rFonts w:ascii="Arial" w:hAnsi="Arial"/>
          <w:b/>
          <w:color w:val="000000"/>
          <w:sz w:val="28"/>
        </w:rPr>
        <w:t>Other current liabilities</w:t>
      </w:r>
    </w:p>
    <w:p>
      <w:pPr>
        <w:pStyle w:val="TextBody"/>
        <w:bidi w:val="0"/>
        <w:spacing w:before="0" w:after="120"/>
        <w:jc w:val="both"/>
        <w:rPr>
          <w:rFonts w:ascii="Times New Roman" w:hAnsi="Times New Roman"/>
          <w:sz w:val="20"/>
        </w:rPr>
      </w:pPr>
      <w:r>
        <w:rPr>
          <w:rFonts w:ascii="Arial" w:hAnsi="Arial"/>
          <w:color w:val="000000"/>
          <w:sz w:val="20"/>
        </w:rPr>
        <w:t>As of December 31, 2025, other current liabilities amounted to EUR 5,124 thousand. During the reporting period, they increased by EUR 7,021 thousand to EUR 12,145 thousand as of June 30, 2026. The increase is primarily driven by higher accrued expenses in the amount of EUR 6,095 thousand. This increase is mainly attributable to transaction-related costs, including legal, advisory, and tax consulting fees. These balances are short-term in nature and relate to services received but not yet invoiced or settled as of the reporting date.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rFonts w:ascii="Arial" w:hAnsi="Arial"/>
          <w:b/>
          <w:color w:val="000000"/>
          <w:sz w:val="36"/>
        </w:rPr>
      </w:pPr>
      <w:r>
        <w:rPr>
          <w:rFonts w:ascii="Arial" w:hAnsi="Arial"/>
          <w:b/>
          <w:color w:val="000000"/>
          <w:sz w:val="36"/>
        </w:rPr>
        <w:t>Equity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Arial" w:hAnsi="Arial"/>
          <w:color w:val="000000"/>
          <w:sz w:val="20"/>
        </w:rPr>
      </w:pPr>
      <w:r>
        <w:rPr>
          <w:rFonts w:ascii="Arial" w:hAnsi="Arial"/>
          <w:color w:val="000000"/>
          <w:sz w:val="20"/>
        </w:rPr>
        <w:t>Equity includes the following items:</w:t>
      </w:r>
    </w:p>
    <w:tbl>
      <w:tblPr>
        <w:tblW w:w="4605" w:type="dxa"/>
        <w:jc w:val="left"/>
        <w:tblInd w:w="0" w:type="dxa"/>
        <w:tblLayout w:type="fixed"/>
        <w:tblCellMar>
          <w:top w:w="28" w:type="dxa"/>
          <w:left w:w="28" w:type="dxa"/>
          <w:bottom w:w="28" w:type="dxa"/>
          <w:right w:w="28" w:type="dxa"/>
        </w:tblCellMar>
      </w:tblPr>
      <w:tblGrid>
        <w:gridCol w:w="1441"/>
        <w:gridCol w:w="146"/>
        <w:gridCol w:w="1066"/>
        <w:gridCol w:w="166"/>
        <w:gridCol w:w="189"/>
        <w:gridCol w:w="1386"/>
        <w:gridCol w:w="21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489,521,908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438,156,913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(307,140,621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(232,243,376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182,422,380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205,900,166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b/>
          <w:color w:val="000000"/>
          <w:sz w:val="22"/>
        </w:rPr>
        <w:t>Share capital</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As at June 30, 2026, the registered share capital of IQM amounted to EUR 80,000 (December 31, 2025: EUR 2,500). The IQM shares do not have a nominal value. During the six months ended June 30, 2026, an amount of EUR 77,500 was transferred from the capital reserve to share capital. The transfer was effected as an increase in share capital from the Company’s funds and did not result in the issuance of new shares or a change in the total number of shares outstanding.</w:t>
      </w:r>
    </w:p>
    <w:p>
      <w:pPr>
        <w:pStyle w:val="TextBody"/>
        <w:bidi w:val="0"/>
        <w:spacing w:before="0" w:after="120"/>
        <w:jc w:val="left"/>
        <w:rPr>
          <w:rFonts w:ascii="Arial" w:hAnsi="Arial"/>
          <w:b/>
          <w:color w:val="000000"/>
          <w:sz w:val="22"/>
        </w:rPr>
      </w:pPr>
      <w:r>
        <w:rPr>
          <w:rFonts w:ascii="Arial" w:hAnsi="Arial"/>
          <w:b/>
          <w:color w:val="000000"/>
          <w:sz w:val="22"/>
        </w:rPr>
        <w:t>Capital reserves</w:t>
      </w:r>
    </w:p>
    <w:p>
      <w:pPr>
        <w:pStyle w:val="TextBody"/>
        <w:bidi w:val="0"/>
        <w:spacing w:before="0" w:after="120"/>
        <w:jc w:val="both"/>
        <w:rPr>
          <w:rFonts w:ascii="Arial" w:hAnsi="Arial"/>
          <w:color w:val="000000"/>
          <w:sz w:val="20"/>
        </w:rPr>
      </w:pPr>
      <w:r>
        <w:rPr>
          <w:rFonts w:ascii="Arial" w:hAnsi="Arial"/>
          <w:color w:val="000000"/>
          <w:sz w:val="20"/>
        </w:rPr>
        <w:t>As of December 31, 2025, capital reserve amounted to EUR 438,157 thousand. During the reporting period, capital reserve increased by EUR 51,365 thousand to EUR 489,522 thousand as of June 30, 2026 primarily related to three transactions.</w:t>
      </w:r>
    </w:p>
    <w:p>
      <w:pPr>
        <w:pStyle w:val="TextBody"/>
        <w:bidi w:val="0"/>
        <w:spacing w:before="0" w:after="120"/>
        <w:jc w:val="both"/>
        <w:rPr>
          <w:rFonts w:ascii="Arial" w:hAnsi="Arial"/>
          <w:color w:val="000000"/>
          <w:sz w:val="20"/>
        </w:rPr>
      </w:pPr>
      <w:r>
        <w:rPr>
          <w:rFonts w:ascii="Arial" w:hAnsi="Arial"/>
          <w:color w:val="000000"/>
          <w:sz w:val="20"/>
        </w:rPr>
        <w:t>First, the increase in the capital reserve during 2026 was primarily attributable to the exercise of 43,092 outstanding warrants, which were classified as equity instruments. Upon exercise, the warrants relating to Series B shares were settled through the issuance of new shares, resulting in an increase in the capital reserve. The corresponding cash consideration received was recognized within cash and cash equivalents. Aggregate subscription proceeds from these exercises amounted to EUR 20,501 thousand with an average conversion price of EUR 474,86 per share. As the warrants were classified as equity instruments, their exercise did not result in the recognition of any gain or loss in profit or loss.</w:t>
      </w:r>
    </w:p>
    <w:p>
      <w:pPr>
        <w:pStyle w:val="TextBody"/>
        <w:bidi w:val="0"/>
        <w:spacing w:before="0" w:after="120"/>
        <w:jc w:val="both"/>
        <w:rPr>
          <w:rFonts w:ascii="Times New Roman" w:hAnsi="Times New Roman"/>
          <w:sz w:val="20"/>
        </w:rPr>
      </w:pPr>
      <w:r>
        <w:rPr>
          <w:rFonts w:ascii="Arial" w:hAnsi="Arial"/>
          <w:color w:val="000000"/>
          <w:sz w:val="20"/>
        </w:rPr>
        <w:t>Second, in June 2026, Aalto University Foundation exercised special rights granted by the Company and subscribed for 27,208 new common shares at a subscription price of EUR 289.84 per share, corresponding to an aggregate subscription price of EUR 7,886 thousand. The subscription price was settled in full by way of set-off against the subscriber's claim under the convertible loan. Upon conversion, both the host liability of EUR 7,886 thousand and the separately recognized derivative liability relating to the conversion feature, amounting to EUR 15,144 thousand at the conversion date, were derecognized and transferred to capital reserve, resulting in a total increase in capital reserve of EUR 23,030 thousand, with no gain or loss recognized in profit or loss on the transfer itself.</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Third, the capital reserve increased by EUR 8,623 thousand during 2026 as a result of the recognition of share-based payment expenses under the Group’s Employee Stock Ownership Plan (ESOP).</w:t>
      </w:r>
    </w:p>
    <w:p>
      <w:pPr>
        <w:pStyle w:val="TextBody"/>
        <w:bidi w:val="0"/>
        <w:spacing w:before="0" w:after="120"/>
        <w:jc w:val="both"/>
        <w:rPr>
          <w:rFonts w:ascii="Arial" w:hAnsi="Arial"/>
          <w:color w:val="000000"/>
          <w:sz w:val="20"/>
        </w:rPr>
      </w:pPr>
      <w:r>
        <w:rPr>
          <w:rFonts w:ascii="Arial" w:hAnsi="Arial"/>
          <w:color w:val="000000"/>
          <w:sz w:val="20"/>
        </w:rPr>
        <w:t>In addition the capital reserve decreased by EUR 77,500 due to the transfer to share capital.</w:t>
      </w:r>
    </w:p>
    <w:p>
      <w:pPr>
        <w:pStyle w:val="TextBody"/>
        <w:bidi w:val="0"/>
        <w:jc w:val="both"/>
        <w:rPr>
          <w:rFonts w:ascii="Arial" w:hAnsi="Arial"/>
          <w:color w:val="000000"/>
          <w:sz w:val="20"/>
        </w:rPr>
      </w:pPr>
      <w:r>
        <w:rPr>
          <w:rFonts w:ascii="Arial" w:hAnsi="Arial"/>
          <w:color w:val="000000"/>
          <w:sz w:val="20"/>
        </w:rPr>
        <w:t>During the first six months of 2025 capital reserves increased from EUR 185.590 thousand by 133,902 to EUR 320,492 thousand. The increase was primarily driven by a capital increase of the parent company, which contributed EUR 155,550 thousand to capital reserves. In addition, the Group recognized share-based payment expenses of EUR 2,334 thousand under its ESOP. These increases were partially offset by transaction costs - net of tax directly attributable to the capital increase of EUR 560 thousand, which were deducted from equity, and by the purchase of treasury shares amounting to EUR 22,421 thousand, which was also deducted from equity.</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Company's shares are divided into the following share classes:</w:t>
      </w:r>
    </w:p>
    <w:tbl>
      <w:tblPr>
        <w:tblW w:w="10205" w:type="dxa"/>
        <w:jc w:val="left"/>
        <w:tblInd w:w="0" w:type="dxa"/>
        <w:tblLayout w:type="fixed"/>
        <w:tblCellMar>
          <w:top w:w="28" w:type="dxa"/>
          <w:left w:w="28" w:type="dxa"/>
          <w:bottom w:w="28" w:type="dxa"/>
          <w:right w:w="28" w:type="dxa"/>
        </w:tblCellMar>
      </w:tblPr>
      <w:tblGrid>
        <w:gridCol w:w="3109"/>
        <w:gridCol w:w="158"/>
        <w:gridCol w:w="1095"/>
        <w:gridCol w:w="146"/>
        <w:gridCol w:w="146"/>
        <w:gridCol w:w="751"/>
        <w:gridCol w:w="166"/>
        <w:gridCol w:w="146"/>
        <w:gridCol w:w="751"/>
        <w:gridCol w:w="166"/>
        <w:gridCol w:w="146"/>
        <w:gridCol w:w="751"/>
        <w:gridCol w:w="166"/>
        <w:gridCol w:w="146"/>
        <w:gridCol w:w="751"/>
        <w:gridCol w:w="166"/>
        <w:gridCol w:w="146"/>
        <w:gridCol w:w="1006"/>
        <w:gridCol w:w="293"/>
      </w:tblGrid>
      <w:tr>
        <w:trPr/>
        <w:tc>
          <w:tcPr>
            <w:tcW w:w="3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Number of shares</w:t>
            </w:r>
          </w:p>
        </w:tc>
        <w:tc>
          <w:tcPr>
            <w:tcW w:w="12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Common 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Seed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A1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A2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B</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Total</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January 1, 2026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281,937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594,231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1,586,301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March 31, 2026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594,231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1,586,301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Share Issuance</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70,300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Conversion of preferred shares into ordinary shares</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1,327,556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Share Split (96.44)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158,105,759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158,105,759</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Recognition of IQM Quantum Computers Oyj treasury shares</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102,700,000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June 30, 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262,462,360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262,462,360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57" w:type="dxa"/>
        <w:jc w:val="left"/>
        <w:tblInd w:w="0" w:type="dxa"/>
        <w:tblLayout w:type="fixed"/>
        <w:tblCellMar>
          <w:top w:w="28" w:type="dxa"/>
          <w:left w:w="28" w:type="dxa"/>
          <w:bottom w:w="28" w:type="dxa"/>
          <w:right w:w="28" w:type="dxa"/>
        </w:tblCellMar>
      </w:tblPr>
      <w:tblGrid>
        <w:gridCol w:w="1441"/>
        <w:gridCol w:w="233"/>
        <w:gridCol w:w="1102"/>
        <w:gridCol w:w="146"/>
        <w:gridCol w:w="146"/>
        <w:gridCol w:w="691"/>
        <w:gridCol w:w="146"/>
        <w:gridCol w:w="146"/>
        <w:gridCol w:w="691"/>
        <w:gridCol w:w="166"/>
        <w:gridCol w:w="146"/>
        <w:gridCol w:w="691"/>
        <w:gridCol w:w="166"/>
        <w:gridCol w:w="146"/>
        <w:gridCol w:w="691"/>
        <w:gridCol w:w="146"/>
        <w:gridCol w:w="146"/>
        <w:gridCol w:w="826"/>
        <w:gridCol w:w="291"/>
      </w:tblGrid>
      <w:tr>
        <w:trPr/>
        <w:tc>
          <w:tcPr>
            <w:tcW w:w="14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Number of shares</w:t>
            </w:r>
          </w:p>
        </w:tc>
        <w:tc>
          <w:tcPr>
            <w:tcW w:w="13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Common 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A1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A2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Series B</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Total</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January 1, 2025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134,457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1,048,767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Share Issuance</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327,571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March 31, 2025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134,457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327,571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1,376,338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Buybacks</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(41,585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June 30, 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316,949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291,090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281,937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327,571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1,334,753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On June 30, 2026, prior to the closing of the Business Combination, all outstanding preferred shares (Seed, Series A1, Series A2 and Series B) were converted into ordinary (Common) shares on a one-for-one basis. The Company's Board of Directors subsequently resolved to carry out a share split, multiplying the number of outstanding shares by a factor of 96.44, in order to achieve a share price of USD 10.00 for the share issuances to be made in connection with the Combination. In addition, the Company recognized 102,700,000 treasury shares issued to itself, which do not carry dividend or voting rights until conveyed to third parties. As at June 30, 2026, the Company had a total of 262,462,360 issued shares of a single share class, of which 102,700,000 were held as treasury shares, representing 39.13% of the total number of shares and 39.13% of the total number of votes in the Company. The shares held by the Company do not carry any voting rights or other shareholder rights while held by the Company.</w:t>
      </w:r>
    </w:p>
    <w:p>
      <w:pPr>
        <w:pStyle w:val="TextBody"/>
        <w:bidi w:val="0"/>
        <w:spacing w:before="0" w:after="120"/>
        <w:jc w:val="left"/>
        <w:rPr>
          <w:rFonts w:ascii="Arial" w:hAnsi="Arial"/>
          <w:b/>
          <w:color w:val="000000"/>
          <w:sz w:val="22"/>
        </w:rPr>
      </w:pPr>
      <w:r>
        <w:rPr>
          <w:rFonts w:ascii="Arial" w:hAnsi="Arial"/>
          <w:b/>
          <w:color w:val="000000"/>
          <w:sz w:val="22"/>
        </w:rPr>
        <w:t>Retained earnings</w:t>
      </w:r>
    </w:p>
    <w:p>
      <w:pPr>
        <w:pStyle w:val="TextBody"/>
        <w:bidi w:val="0"/>
        <w:spacing w:before="0" w:after="120"/>
        <w:jc w:val="both"/>
        <w:rPr>
          <w:rFonts w:ascii="Arial" w:hAnsi="Arial"/>
          <w:color w:val="000000"/>
          <w:sz w:val="20"/>
        </w:rPr>
      </w:pPr>
      <w:r>
        <w:rPr>
          <w:rFonts w:ascii="Arial" w:hAnsi="Arial"/>
          <w:color w:val="000000"/>
          <w:sz w:val="20"/>
        </w:rPr>
        <w:t>Retained earnings contain earnings of the companies included in these consolidated financial statements including earnings of the current fiscal year, provided these have not been distributed. As of the end of the reporting period, the Group had retained earnings of EUR (307,141) thousand (December 31, 2025: EUR (232,243) thousand).</w:t>
      </w:r>
    </w:p>
    <w:p>
      <w:pPr>
        <w:pStyle w:val="TextBody"/>
        <w:bidi w:val="0"/>
        <w:spacing w:before="0" w:after="120"/>
        <w:jc w:val="left"/>
        <w:rPr>
          <w:rFonts w:ascii="Arial" w:hAnsi="Arial"/>
          <w:b/>
          <w:color w:val="000000"/>
          <w:sz w:val="22"/>
        </w:rPr>
      </w:pPr>
      <w:r>
        <w:rPr>
          <w:rFonts w:ascii="Arial" w:hAnsi="Arial"/>
          <w:b/>
          <w:color w:val="000000"/>
          <w:sz w:val="22"/>
        </w:rPr>
        <w:t>Other reserves</w:t>
      </w:r>
    </w:p>
    <w:p>
      <w:pPr>
        <w:pStyle w:val="TextBody"/>
        <w:bidi w:val="0"/>
        <w:spacing w:before="0" w:after="120"/>
        <w:jc w:val="both"/>
        <w:rPr>
          <w:rFonts w:ascii="Arial" w:hAnsi="Arial"/>
          <w:color w:val="000000"/>
          <w:sz w:val="20"/>
        </w:rPr>
      </w:pPr>
      <w:r>
        <w:rPr>
          <w:rFonts w:ascii="Arial" w:hAnsi="Arial"/>
          <w:color w:val="000000"/>
          <w:sz w:val="20"/>
        </w:rPr>
        <w:t>Other reserves include remeasurement adjustments from defined benefit pension obligations as well as the currency translation reserve resulting from the translation of foreign business operations into Euros.</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7.</w:t>
      </w:r>
    </w:p>
    <w:p>
      <w:pPr>
        <w:pStyle w:val="TextBody"/>
        <w:bidi w:val="0"/>
        <w:spacing w:before="120" w:after="120"/>
        <w:jc w:val="left"/>
        <w:rPr>
          <w:rFonts w:ascii="Arial" w:hAnsi="Arial"/>
          <w:b/>
          <w:color w:val="000000"/>
          <w:sz w:val="36"/>
        </w:rPr>
      </w:pPr>
      <w:r>
        <w:rPr>
          <w:rFonts w:ascii="Arial" w:hAnsi="Arial"/>
          <w:b/>
          <w:color w:val="000000"/>
          <w:sz w:val="36"/>
        </w:rPr>
        <w:t>Financial assets and financial liabilities</w:t>
      </w:r>
    </w:p>
    <w:p>
      <w:pPr>
        <w:pStyle w:val="TextBody"/>
        <w:bidi w:val="0"/>
        <w:spacing w:before="0" w:after="120"/>
        <w:jc w:val="both"/>
        <w:rPr>
          <w:rFonts w:ascii="Arial" w:hAnsi="Arial"/>
          <w:color w:val="000000"/>
          <w:sz w:val="20"/>
        </w:rPr>
      </w:pPr>
      <w:r>
        <w:rPr>
          <w:rFonts w:ascii="Arial" w:hAnsi="Arial"/>
          <w:color w:val="000000"/>
          <w:sz w:val="20"/>
        </w:rPr>
        <w:t>This Note provides information about the Group’s financial instruments.</w:t>
      </w:r>
    </w:p>
    <w:p>
      <w:pPr>
        <w:pStyle w:val="TextBody"/>
        <w:bidi w:val="0"/>
        <w:spacing w:before="0" w:after="120"/>
        <w:jc w:val="left"/>
        <w:rPr>
          <w:rFonts w:ascii="Arial" w:hAnsi="Arial"/>
          <w:b/>
          <w:color w:val="000000"/>
          <w:sz w:val="28"/>
        </w:rPr>
      </w:pPr>
      <w:r>
        <w:rPr>
          <w:rFonts w:ascii="Arial" w:hAnsi="Arial"/>
          <w:b/>
          <w:color w:val="000000"/>
          <w:sz w:val="28"/>
        </w:rPr>
        <w:t>7.1.</w:t>
      </w:r>
    </w:p>
    <w:p>
      <w:pPr>
        <w:pStyle w:val="TextBody"/>
        <w:bidi w:val="0"/>
        <w:spacing w:before="0" w:after="120"/>
        <w:jc w:val="left"/>
        <w:rPr>
          <w:rFonts w:ascii="Arial" w:hAnsi="Arial"/>
          <w:b/>
          <w:color w:val="000000"/>
          <w:sz w:val="28"/>
        </w:rPr>
      </w:pPr>
      <w:r>
        <w:rPr>
          <w:rFonts w:ascii="Arial" w:hAnsi="Arial"/>
          <w:b/>
          <w:color w:val="000000"/>
          <w:sz w:val="28"/>
        </w:rPr>
        <w:t>Trade receivables</w:t>
      </w:r>
    </w:p>
    <w:p>
      <w:pPr>
        <w:pStyle w:val="TextBody"/>
        <w:bidi w:val="0"/>
        <w:spacing w:before="0" w:after="120"/>
        <w:jc w:val="both"/>
        <w:rPr>
          <w:rFonts w:ascii="Arial" w:hAnsi="Arial"/>
          <w:color w:val="000000"/>
          <w:sz w:val="20"/>
        </w:rPr>
      </w:pPr>
      <w:r>
        <w:rPr>
          <w:rFonts w:ascii="Arial" w:hAnsi="Arial"/>
          <w:color w:val="000000"/>
          <w:sz w:val="20"/>
        </w:rPr>
        <w:t>As of December 31, 2025, trade receivables amounted to EUR 15,489 thousand. During the reporting period, they decreased by EUR 3,289 thousand to EUR 12,200 thousand as of June 30, 2026. Trade receivables decreased compared to the prior period primarily due to elevated invoicing levels at year-end, which resulted in higher outstanding balances as of December 31, followed by subsequent collections in the reporting period.</w:t>
      </w:r>
    </w:p>
    <w:p>
      <w:pPr>
        <w:pStyle w:val="TextBody"/>
        <w:bidi w:val="0"/>
        <w:spacing w:before="0" w:after="120"/>
        <w:jc w:val="left"/>
        <w:rPr>
          <w:rFonts w:ascii="Arial" w:hAnsi="Arial"/>
          <w:b/>
          <w:color w:val="000000"/>
          <w:sz w:val="28"/>
        </w:rPr>
      </w:pPr>
      <w:r>
        <w:rPr>
          <w:rFonts w:ascii="Arial" w:hAnsi="Arial"/>
          <w:b/>
          <w:color w:val="000000"/>
          <w:sz w:val="28"/>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Arial" w:hAnsi="Arial"/>
          <w:b/>
          <w:color w:val="000000"/>
          <w:sz w:val="28"/>
        </w:rPr>
      </w:pPr>
      <w:r>
        <w:rPr>
          <w:rFonts w:ascii="Arial" w:hAnsi="Arial"/>
          <w:b/>
          <w:color w:val="000000"/>
          <w:sz w:val="28"/>
        </w:rPr>
        <w:t>Financial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sz w:val="20"/>
        </w:rPr>
      </w:pPr>
      <w:r>
        <w:rPr>
          <w:rFonts w:ascii="Arial" w:hAnsi="Arial"/>
          <w:color w:val="000000"/>
          <w:sz w:val="20"/>
        </w:rPr>
        <w:t>As of June, 2026, the Company recognized derivative financial assets of EUR 4,086 thousand within current financial assets. The derivative financial assets arise from subscription agreements entered into in connection with the PIPE financing related to the Business Combination with RAAQ, under which the investors agreed to purchase newly issued shares. As the subscription agreements are denominated in U.S. dollars while the Company’s functional currency is the euro, the foreign currency component results in variability in the settlement amount from the Company's perspective.</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PIPE agreements, with a subscription amount of USD 134,330 thousand, were entered into on February 22, 2026. As of June 30, 2026, the exchange rate differences between the USD and EUR resulted in a fair value of EUR 3,901. At the inception date of the subscription agreements the derivative had a fair value of nil. Accordingly, the entire fair value movement recognized as of June 30, 2026, was recorded in profit or loss. The instrument is classified and measured as a derivative financial asset at FVtPL. For the three months ended June 30, 2026 a fair value gain of EUR 1,066 thousand was recognized under finance income.</w:t>
      </w:r>
    </w:p>
    <w:p>
      <w:pPr>
        <w:pStyle w:val="TextBody"/>
        <w:bidi w:val="0"/>
        <w:spacing w:before="0" w:after="120"/>
        <w:jc w:val="both"/>
        <w:rPr>
          <w:rFonts w:ascii="Arial" w:hAnsi="Arial"/>
          <w:color w:val="000000"/>
          <w:sz w:val="20"/>
        </w:rPr>
      </w:pPr>
      <w:r>
        <w:rPr>
          <w:rFonts w:ascii="Arial" w:hAnsi="Arial"/>
          <w:color w:val="000000"/>
          <w:sz w:val="20"/>
        </w:rPr>
        <w:t>Additional PIPE agreements with total subscription amounts of USD 12,000 thousand and USD 150 thousand were entered into on May 22, 2026, and June 11, 2026, respectively. As of June 30, 2026, the fair values of the derivative financial assets arising from these PIPE agreements amounted to EUR 183 thousand and EUR 2 thousand. The entire fair value gain was recognized within finance income in the consolidated statement of profit or loss for the three months ended June 30, 2026.</w:t>
      </w:r>
    </w:p>
    <w:p>
      <w:pPr>
        <w:pStyle w:val="TextBody"/>
        <w:bidi w:val="0"/>
        <w:spacing w:before="0" w:after="120"/>
        <w:jc w:val="both"/>
        <w:rPr>
          <w:rFonts w:ascii="Arial" w:hAnsi="Arial"/>
          <w:color w:val="000000"/>
          <w:sz w:val="20"/>
        </w:rPr>
      </w:pPr>
      <w:r>
        <w:rPr>
          <w:rFonts w:ascii="Arial" w:hAnsi="Arial"/>
          <w:color w:val="000000"/>
          <w:sz w:val="20"/>
        </w:rPr>
        <w:t>As of June 30, 2026, the total derivative financial asset amounted to EUR 4,086 thousand corresponding to the gain recognized within finance income for the period. For the three months ended June 30, 2026, the fair value gain amounted to EUR 1,251 thousand.</w:t>
      </w:r>
    </w:p>
    <w:p>
      <w:pPr>
        <w:pStyle w:val="TextBody"/>
        <w:bidi w:val="0"/>
        <w:spacing w:before="0" w:after="120"/>
        <w:jc w:val="both"/>
        <w:rPr>
          <w:rFonts w:ascii="Arial" w:hAnsi="Arial"/>
          <w:color w:val="000000"/>
          <w:sz w:val="20"/>
        </w:rPr>
      </w:pPr>
      <w:r>
        <w:rPr>
          <w:rFonts w:ascii="Arial" w:hAnsi="Arial"/>
          <w:color w:val="000000"/>
          <w:sz w:val="20"/>
        </w:rPr>
        <w:t>In addition, as of June 30, 2026, the Group holds investments in a short-term investment fund amounting to EUR 879 thousand (December 31, 2025: EUR 876 thousand). The fund is classified as a financial asset at FVtPL. Changes in the fair value in the amount of EUR 4 thousand are booked as fair value gains on financial assets within the finance income.</w:t>
      </w:r>
    </w:p>
    <w:p>
      <w:pPr>
        <w:pStyle w:val="TextBody"/>
        <w:bidi w:val="0"/>
        <w:spacing w:before="0" w:after="120"/>
        <w:jc w:val="both"/>
        <w:rPr>
          <w:rFonts w:ascii="Arial" w:hAnsi="Arial"/>
          <w:color w:val="000000"/>
          <w:sz w:val="20"/>
        </w:rPr>
      </w:pPr>
      <w:r>
        <w:rPr>
          <w:rFonts w:ascii="Arial" w:hAnsi="Arial"/>
          <w:color w:val="000000"/>
          <w:sz w:val="20"/>
        </w:rPr>
        <w:t>As of December 31, 2025, non-current financial assets mainly comprising long-term deposits amounted to EUR 910 thousand. During the reporting period, they increased by EUR 372 thousand to EUR 1,281 thousand as of June 30, 2026. The increase was primarily driven by the signing of a new lease contract for the headquarters.</w:t>
      </w:r>
    </w:p>
    <w:p>
      <w:pPr>
        <w:pStyle w:val="TextBody"/>
        <w:bidi w:val="0"/>
        <w:spacing w:before="0" w:after="120"/>
        <w:jc w:val="left"/>
        <w:rPr>
          <w:rFonts w:ascii="Arial" w:hAnsi="Arial"/>
          <w:b/>
          <w:color w:val="000000"/>
          <w:sz w:val="28"/>
        </w:rPr>
      </w:pPr>
      <w:r>
        <w:rPr>
          <w:rFonts w:ascii="Arial" w:hAnsi="Arial"/>
          <w:b/>
          <w:color w:val="000000"/>
          <w:sz w:val="28"/>
        </w:rPr>
        <w:t>7.3.</w:t>
      </w:r>
    </w:p>
    <w:p>
      <w:pPr>
        <w:pStyle w:val="TextBody"/>
        <w:bidi w:val="0"/>
        <w:spacing w:before="0" w:after="120"/>
        <w:jc w:val="left"/>
        <w:rPr>
          <w:rFonts w:ascii="Arial" w:hAnsi="Arial"/>
          <w:b/>
          <w:color w:val="000000"/>
          <w:sz w:val="28"/>
        </w:rPr>
      </w:pPr>
      <w:r>
        <w:rPr>
          <w:rFonts w:ascii="Arial" w:hAnsi="Arial"/>
          <w:b/>
          <w:color w:val="000000"/>
          <w:sz w:val="28"/>
        </w:rPr>
        <w:t>Financial liabilities</w:t>
      </w:r>
    </w:p>
    <w:p>
      <w:pPr>
        <w:pStyle w:val="TextBody"/>
        <w:bidi w:val="0"/>
        <w:spacing w:before="0" w:after="120"/>
        <w:jc w:val="both"/>
        <w:rPr>
          <w:rFonts w:ascii="Arial" w:hAnsi="Arial"/>
          <w:color w:val="000000"/>
          <w:sz w:val="20"/>
        </w:rPr>
      </w:pPr>
      <w:r>
        <w:rPr>
          <w:rFonts w:ascii="Arial" w:hAnsi="Arial"/>
          <w:color w:val="000000"/>
          <w:sz w:val="20"/>
        </w:rPr>
        <w:t>Financial liabilities classified as loans and borrowings include the following items:</w:t>
      </w:r>
    </w:p>
    <w:tbl>
      <w:tblPr>
        <w:tblW w:w="6293" w:type="dxa"/>
        <w:jc w:val="left"/>
        <w:tblInd w:w="0" w:type="dxa"/>
        <w:tblLayout w:type="fixed"/>
        <w:tblCellMar>
          <w:top w:w="28" w:type="dxa"/>
          <w:left w:w="28" w:type="dxa"/>
          <w:bottom w:w="28" w:type="dxa"/>
          <w:right w:w="28" w:type="dxa"/>
        </w:tblCellMar>
      </w:tblPr>
      <w:tblGrid>
        <w:gridCol w:w="3211"/>
        <w:gridCol w:w="228"/>
        <w:gridCol w:w="942"/>
        <w:gridCol w:w="146"/>
        <w:gridCol w:w="307"/>
        <w:gridCol w:w="1268"/>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liabilities from financial institutions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Embedded derivative financial liability</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Warrant derivative financial liability</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Convertible loans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17,746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Total current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12,810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8,525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Total non-current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9,222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rFonts w:ascii="Arial" w:hAnsi="Arial"/>
          <w:color w:val="000000"/>
          <w:sz w:val="20"/>
        </w:rPr>
        <w:t xml:space="preserve">For detailed information regarding the carrying amounts and fair values of financial instruments, refer to Note </w:t>
      </w:r>
      <w:hyperlink w:anchor="carrying_amounts">
        <w:r>
          <w:rPr>
            <w:rStyle w:val="InternetLink"/>
            <w:rFonts w:ascii="Arial" w:hAnsi="Arial"/>
            <w:color w:val="0000FF"/>
            <w:sz w:val="20"/>
            <w:u w:val="single"/>
          </w:rPr>
          <w:t>8.2.</w:t>
        </w:r>
      </w:hyperlink>
    </w:p>
    <w:p>
      <w:pPr>
        <w:pStyle w:val="TextBody"/>
        <w:bidi w:val="0"/>
        <w:spacing w:before="0" w:after="120"/>
        <w:jc w:val="both"/>
        <w:rPr>
          <w:rFonts w:ascii="Arial" w:hAnsi="Arial"/>
          <w:color w:val="000000"/>
          <w:sz w:val="20"/>
        </w:rPr>
      </w:pPr>
      <w:r>
        <w:rPr>
          <w:rFonts w:ascii="Arial" w:hAnsi="Arial"/>
          <w:color w:val="000000"/>
          <w:sz w:val="20"/>
        </w:rPr>
        <w:t>Current financial liabilities comprise the portion of the government loan of the ministry of finance due within the next twelve months as well as the Kreos loan amount that will be repaid on July 31, 2026.</w:t>
      </w:r>
    </w:p>
    <w:p>
      <w:pPr>
        <w:pStyle w:val="TextBody"/>
        <w:bidi w:val="0"/>
        <w:spacing w:before="0" w:after="120"/>
        <w:jc w:val="left"/>
        <w:rPr>
          <w:rFonts w:ascii="Arial" w:hAnsi="Arial"/>
          <w:b/>
          <w:color w:val="000000"/>
          <w:sz w:val="22"/>
        </w:rPr>
      </w:pPr>
      <w:r>
        <w:rPr>
          <w:rFonts w:ascii="Arial" w:hAnsi="Arial"/>
          <w:b/>
          <w:color w:val="000000"/>
          <w:sz w:val="22"/>
        </w:rPr>
        <w:t>Convertible loans</w:t>
      </w:r>
    </w:p>
    <w:p>
      <w:pPr>
        <w:pStyle w:val="TextBody"/>
        <w:bidi w:val="0"/>
        <w:spacing w:before="0" w:after="120"/>
        <w:jc w:val="both"/>
        <w:rPr>
          <w:rFonts w:ascii="Arial" w:hAnsi="Arial"/>
          <w:color w:val="000000"/>
          <w:sz w:val="20"/>
        </w:rPr>
      </w:pPr>
      <w:r>
        <w:rPr>
          <w:rFonts w:ascii="Arial" w:hAnsi="Arial"/>
          <w:color w:val="000000"/>
          <w:sz w:val="20"/>
        </w:rPr>
        <w:t>On June 18, 2026, in connection with an Exit Event, Aalto University Foundation SR exercised its contractual right to convert the full outstanding principal of its two convertible loan agreements with the Company into ordinary shares. The shares were registered with the Finnish Trade Register on June 30, 2026.</w:t>
      </w:r>
    </w:p>
    <w:p>
      <w:pPr>
        <w:pStyle w:val="TextBody"/>
        <w:bidi w:val="0"/>
        <w:spacing w:before="0" w:after="120"/>
        <w:jc w:val="both"/>
        <w:rPr>
          <w:rFonts w:ascii="Arial" w:hAnsi="Arial"/>
          <w:color w:val="000000"/>
          <w:sz w:val="20"/>
        </w:rPr>
      </w:pPr>
      <w:r>
        <w:rPr>
          <w:rFonts w:ascii="Arial" w:hAnsi="Arial"/>
          <w:color w:val="000000"/>
          <w:sz w:val="20"/>
        </w:rPr>
        <w:t>The Aalto Loans were entered into on September 9, 2021, with principal amounts of EUR 3,823 thousand and EUR 4,062 thousand. The Aalto Loans bear no interest and were repayable on the earlier of an Exit Event or the tenth anniversary of the effective date.</w:t>
      </w:r>
    </w:p>
    <w:p>
      <w:pPr>
        <w:pStyle w:val="TextBody"/>
        <w:bidi w:val="0"/>
        <w:spacing w:before="0" w:after="120"/>
        <w:jc w:val="both"/>
        <w:rPr>
          <w:rFonts w:ascii="Arial" w:hAnsi="Arial"/>
          <w:color w:val="000000"/>
          <w:sz w:val="20"/>
        </w:rPr>
      </w:pPr>
      <w:r>
        <w:rPr>
          <w:rFonts w:ascii="Arial" w:hAnsi="Arial"/>
          <w:color w:val="000000"/>
          <w:sz w:val="20"/>
        </w:rPr>
        <w:t>At inception, the Aalto Loans were classified as compound financial instruments comprising a host financial liability measured at amortized cost and a bifurcated derivative financial liability representing the conversion feature, measured at fair value through profit or loss and classified within Level 3 of the fair value hierarchy.</w:t>
      </w:r>
    </w:p>
    <w:p>
      <w:pPr>
        <w:pStyle w:val="TextBody"/>
        <w:bidi w:val="0"/>
        <w:spacing w:before="0" w:after="120"/>
        <w:jc w:val="both"/>
        <w:rPr>
          <w:rFonts w:ascii="Arial" w:hAnsi="Arial"/>
          <w:color w:val="000000"/>
          <w:sz w:val="20"/>
        </w:rPr>
      </w:pPr>
      <w:r>
        <w:rPr>
          <w:rFonts w:ascii="Arial" w:hAnsi="Arial"/>
          <w:color w:val="000000"/>
          <w:sz w:val="20"/>
        </w:rPr>
        <w:t>As the conversion right was exercised ahead of the contractual maturity date, the derivative financial liability was remeasured to fair value immediately prior to conversion, using the actual conversion rate applied. This remeasurement resulted in a fair value of EUR 15,144 thousand immediately prior to conversion (December 31, 2025: EUR 6,122 thousand). The resulting change in fair value in the amount of EUR 9,022 was recognized as finance cost in profit or loss for the six months ended June 30, 2026.</w:t>
      </w:r>
    </w:p>
    <w:p>
      <w:pPr>
        <w:pStyle w:val="TextBody"/>
        <w:bidi w:val="0"/>
        <w:spacing w:before="0" w:after="120"/>
        <w:jc w:val="both"/>
        <w:rPr>
          <w:rFonts w:ascii="Arial" w:hAnsi="Arial"/>
          <w:color w:val="000000"/>
          <w:sz w:val="20"/>
        </w:rPr>
      </w:pPr>
      <w:r>
        <w:rPr>
          <w:rFonts w:ascii="Arial" w:hAnsi="Arial"/>
          <w:color w:val="000000"/>
          <w:sz w:val="20"/>
        </w:rPr>
        <w:t>The conversion was accounted for as an extinguishment of a compound financial instrument. Consistent with this treatment, the equity instruments issued were recognized at an amount equal to the aggregate carrying amount of the liabilities extinguished comprising the host financial liability and the remeasured derivative financial liability with no additional gain or loss recognized in profit or loss on the extinguishment itself. The carrying amounts of the financial liabilities were transferred directly in capital reserve.</w:t>
      </w:r>
    </w:p>
    <w:p>
      <w:pPr>
        <w:pStyle w:val="TextBody"/>
        <w:bidi w:val="0"/>
        <w:spacing w:before="0" w:after="120"/>
        <w:jc w:val="both"/>
        <w:rPr>
          <w:rFonts w:ascii="Arial" w:hAnsi="Arial"/>
          <w:color w:val="000000"/>
          <w:sz w:val="20"/>
        </w:rPr>
      </w:pPr>
      <w:r>
        <w:rPr>
          <w:rFonts w:ascii="Arial" w:hAnsi="Arial"/>
          <w:color w:val="000000"/>
          <w:sz w:val="20"/>
        </w:rPr>
        <w:t>As a result of the conversion, the host financial liability of EUR 7,886 thousand and the remeasured derivative financial liability of EUR 15,144 thousand (in total, EUR 23,030 thousand) were derecognized. The outstanding principal of EUR 7,886 thousand was converted, at the fixed contractual conversion price of EUR 289.84 per share, into 27,208 newly issued common ordinary shares of the Company.</w:t>
      </w:r>
    </w:p>
    <w:p>
      <w:pPr>
        <w:pStyle w:val="TextBody"/>
        <w:bidi w:val="0"/>
        <w:spacing w:before="0" w:after="120"/>
        <w:jc w:val="both"/>
        <w:rPr>
          <w:rFonts w:ascii="Arial" w:hAnsi="Arial"/>
          <w:b/>
          <w:color w:val="000000"/>
          <w:sz w:val="22"/>
        </w:rPr>
      </w:pPr>
      <w:r>
        <w:rPr>
          <w:rFonts w:ascii="Arial" w:hAnsi="Arial"/>
          <w:b/>
          <w:color w:val="000000"/>
          <w:sz w:val="22"/>
        </w:rPr>
        <w:t>Kreos Loan Agreement</w:t>
      </w:r>
    </w:p>
    <w:p>
      <w:pPr>
        <w:pStyle w:val="TextBody"/>
        <w:bidi w:val="0"/>
        <w:spacing w:before="0" w:after="120"/>
        <w:jc w:val="both"/>
        <w:rPr>
          <w:rFonts w:ascii="Arial" w:hAnsi="Arial"/>
          <w:color w:val="000000"/>
          <w:sz w:val="20"/>
        </w:rPr>
      </w:pPr>
      <w:r>
        <w:rPr>
          <w:rFonts w:ascii="Arial" w:hAnsi="Arial"/>
          <w:color w:val="000000"/>
          <w:sz w:val="20"/>
        </w:rPr>
        <w:t>On June 18, 2026, the Group issued a prepayment notice to Kreos, notifying the lender that the outstanding principal amount EUR 5,000 thousand of Loan Amount 1, together with all accrued and unpaid interest, the applicable prepayment fee, the unpaid End of Loan Payment and all other amounts outstanding under the Loan Agreement, was repaid in full on July 31, 2026. The total repayment amount under the early repayment option, including the related prepayment fee amounted to EUR 5,774 thousand. The total amount consists of EUR 4,810 thousand principal repayment, EUR 883 thousand interest and EUR 81 thousand additional fees.</w:t>
      </w:r>
    </w:p>
    <w:p>
      <w:pPr>
        <w:pStyle w:val="TextBody"/>
        <w:bidi w:val="0"/>
        <w:spacing w:before="0" w:after="120"/>
        <w:jc w:val="both"/>
        <w:rPr>
          <w:rFonts w:ascii="Arial" w:hAnsi="Arial"/>
          <w:color w:val="000000"/>
          <w:sz w:val="20"/>
        </w:rPr>
      </w:pPr>
      <w:r>
        <w:rPr>
          <w:rFonts w:ascii="Arial" w:hAnsi="Arial"/>
          <w:color w:val="000000"/>
          <w:sz w:val="20"/>
        </w:rPr>
        <w:t>On June 18, 2026, the carrying amount of the Kreos loan liability was EUR 4,784 thousand, including unamortized transaction costs of EUR 271 thousand recognized as part of the carrying amount under the effective interest method. The estimated cash flows were discounted to June 18, 2026, resulting in a present value of EUR 5,662 thousand. The difference of EUR 877 thousand between this amount and the carrying amount of the loan derecognized on that date was recognized within finance expenses for the current reporting period. As of June 30, 2026, the carrying amount of the loan was EUR 5,687 thousand.</w:t>
      </w:r>
    </w:p>
    <w:p>
      <w:pPr>
        <w:pStyle w:val="TextBody"/>
        <w:bidi w:val="0"/>
        <w:spacing w:before="0" w:after="120"/>
        <w:jc w:val="both"/>
        <w:rPr>
          <w:rFonts w:ascii="Times New Roman" w:hAnsi="Times New Roman"/>
          <w:sz w:val="20"/>
        </w:rPr>
      </w:pPr>
      <w:r>
        <w:rPr>
          <w:rFonts w:ascii="Arial" w:hAnsi="Arial"/>
          <w:color w:val="000000"/>
          <w:sz w:val="20"/>
        </w:rPr>
        <w:t>Following the prepayment, the total loan facility will be cancelled in full. The prepayment constitutes full and final settlement of all payment obligations under the Loan Agreement and the related Loan Documents, with the exception of the Warrant Agreement, which was excluded from the repayment.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b/>
          <w:color w:val="000000"/>
          <w:sz w:val="22"/>
        </w:rPr>
      </w:pPr>
      <w:r>
        <w:rPr>
          <w:rFonts w:ascii="Arial" w:hAnsi="Arial"/>
          <w:b/>
          <w:color w:val="000000"/>
          <w:sz w:val="22"/>
        </w:rPr>
        <w:t>Kreos Warrant Agreement</w:t>
      </w:r>
    </w:p>
    <w:p>
      <w:pPr>
        <w:pStyle w:val="TextBody"/>
        <w:bidi w:val="0"/>
        <w:spacing w:before="0" w:after="120"/>
        <w:jc w:val="both"/>
        <w:rPr>
          <w:rFonts w:ascii="Arial" w:hAnsi="Arial"/>
          <w:color w:val="000000"/>
          <w:sz w:val="20"/>
        </w:rPr>
      </w:pPr>
      <w:r>
        <w:rPr>
          <w:rFonts w:ascii="Arial" w:hAnsi="Arial"/>
          <w:color w:val="000000"/>
          <w:sz w:val="20"/>
        </w:rPr>
        <w:t>On July 6, 2026, Kreos Capital VII Aggregator SCSp ("Kreos") exercised in full the warrants granted under the Warrant Agreement dated December 23, 2025, entitling Kreos to subscribe for up to 1,015,511 shares of the Company. Kreos settled the exercise on a cashless basis, receiving a reduced number of shares in lieu of a cash payment of the subscription price. Based on a fair market value of EUR 11.41 per share and a subscription price of EUR 4.93 per share, Kreos was allotted 577,237 shares against an aggregate subscription price of EUR 5,772.37. As the aggregate warrant value of EUR 6,581 thousand exceeded the EUR 5,000 thousand minimum threshold under the Warrant Agreement, no cash shortfall payment was due from the Company to Kreos. The Board of Directors approved and recorded the exercise on July 9, 2026. No warrants remain outstanding.</w:t>
      </w:r>
    </w:p>
    <w:p>
      <w:pPr>
        <w:pStyle w:val="TextBody"/>
        <w:bidi w:val="0"/>
        <w:spacing w:before="0" w:after="120"/>
        <w:jc w:val="both"/>
        <w:rPr>
          <w:rFonts w:ascii="Arial" w:hAnsi="Arial"/>
          <w:color w:val="000000"/>
          <w:sz w:val="20"/>
        </w:rPr>
      </w:pPr>
      <w:r>
        <w:rPr>
          <w:rFonts w:ascii="Arial" w:hAnsi="Arial"/>
          <w:color w:val="000000"/>
          <w:sz w:val="20"/>
        </w:rPr>
        <w:t>The exercise occurred between the reporting date and the date on which these financial statements are authorized for issue. As of June 30, 2026, the warrants were exercisable and significantly in the money, and Kreos had the contractual right to exercise them at any time; the exercise six days later did not create this condition but provided additional evidence of the appropriate remaining-term assumption as of June 30, 2026. The fair value of the warrants as of June 30, 2026 amounted to EUR 6,581 thousand (December 31, 2025: EUR 1,445 thousand).</w:t>
      </w:r>
    </w:p>
    <w:p>
      <w:pPr>
        <w:pStyle w:val="TextBody"/>
        <w:bidi w:val="0"/>
        <w:spacing w:before="0" w:after="120"/>
        <w:jc w:val="left"/>
        <w:rPr>
          <w:rFonts w:ascii="Arial" w:hAnsi="Arial"/>
          <w:b/>
          <w:color w:val="000000"/>
          <w:sz w:val="22"/>
        </w:rPr>
      </w:pPr>
      <w:r>
        <w:rPr>
          <w:rFonts w:ascii="Arial" w:hAnsi="Arial"/>
          <w:b/>
          <w:color w:val="000000"/>
          <w:sz w:val="22"/>
        </w:rPr>
        <w:t>Danske Loan</w:t>
      </w:r>
    </w:p>
    <w:p>
      <w:pPr>
        <w:pStyle w:val="TextBody"/>
        <w:bidi w:val="0"/>
        <w:spacing w:before="0" w:after="120"/>
        <w:jc w:val="both"/>
        <w:rPr>
          <w:rFonts w:ascii="Arial" w:hAnsi="Arial"/>
          <w:color w:val="000000"/>
          <w:sz w:val="20"/>
        </w:rPr>
      </w:pPr>
      <w:r>
        <w:rPr>
          <w:rFonts w:ascii="Arial" w:hAnsi="Arial"/>
          <w:color w:val="000000"/>
          <w:sz w:val="20"/>
        </w:rPr>
        <w:t>The loan agreement entered into between IQM and Danske Bank A/S on June 28, 2021, with an initial principal amount of EUR 4,000 thousand, was fully repaid upon its contractual maturity on June 27, 2026. Consequently, as of June 30, 2026, the Group had no outstanding borrowings or other liabilities related to this loan.</w:t>
      </w:r>
    </w:p>
    <w:p>
      <w:pPr>
        <w:pStyle w:val="TextBody"/>
        <w:bidi w:val="0"/>
        <w:spacing w:before="0" w:after="120"/>
        <w:jc w:val="left"/>
        <w:rPr>
          <w:rFonts w:ascii="Arial" w:hAnsi="Arial"/>
          <w:b/>
          <w:color w:val="000000"/>
          <w:sz w:val="22"/>
        </w:rPr>
      </w:pPr>
      <w:r>
        <w:rPr>
          <w:rFonts w:ascii="Arial" w:hAnsi="Arial"/>
          <w:b/>
          <w:color w:val="000000"/>
          <w:sz w:val="22"/>
        </w:rPr>
        <w:t>Loan from the State Treasury</w:t>
      </w:r>
    </w:p>
    <w:p>
      <w:pPr>
        <w:pStyle w:val="TextBody"/>
        <w:bidi w:val="0"/>
        <w:spacing w:before="0" w:after="120"/>
        <w:jc w:val="both"/>
        <w:rPr>
          <w:rFonts w:ascii="Arial" w:hAnsi="Arial"/>
          <w:color w:val="000000"/>
          <w:sz w:val="20"/>
        </w:rPr>
      </w:pPr>
      <w:r>
        <w:rPr>
          <w:rFonts w:ascii="Arial" w:hAnsi="Arial"/>
          <w:color w:val="000000"/>
          <w:sz w:val="20"/>
        </w:rPr>
        <w:t>On September 20, 2020, IQM entered into a loan agreement with the Finnish State Treasury for an initial amount of EUR 2,700 thousand. The loan bears a fixed interest rate of 1.0% p.a. The loan period is 10 years, with annual repayments of EUR 540 thousand commencing on September 20, 2026.</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8.</w:t>
      </w:r>
    </w:p>
    <w:p>
      <w:pPr>
        <w:pStyle w:val="TextBody"/>
        <w:bidi w:val="0"/>
        <w:spacing w:before="120" w:after="120"/>
        <w:jc w:val="left"/>
        <w:rPr>
          <w:rFonts w:ascii="Arial" w:hAnsi="Arial"/>
          <w:b/>
          <w:color w:val="000000"/>
          <w:sz w:val="36"/>
        </w:rPr>
      </w:pPr>
      <w:r>
        <w:rPr>
          <w:rFonts w:ascii="Arial" w:hAnsi="Arial"/>
          <w:b/>
          <w:color w:val="000000"/>
          <w:sz w:val="36"/>
        </w:rPr>
        <w:t>Information on financial instruments</w:t>
      </w:r>
    </w:p>
    <w:p>
      <w:pPr>
        <w:pStyle w:val="TextBody"/>
        <w:bidi w:val="0"/>
        <w:spacing w:before="0" w:after="120"/>
        <w:jc w:val="left"/>
        <w:rPr>
          <w:rFonts w:ascii="Arial" w:hAnsi="Arial"/>
          <w:b/>
          <w:color w:val="000000"/>
          <w:sz w:val="28"/>
        </w:rPr>
      </w:pPr>
      <w:r>
        <w:rPr>
          <w:rFonts w:ascii="Arial" w:hAnsi="Arial"/>
          <w:b/>
          <w:color w:val="000000"/>
          <w:sz w:val="28"/>
        </w:rPr>
        <w:t>8.1.</w:t>
      </w:r>
    </w:p>
    <w:p>
      <w:pPr>
        <w:pStyle w:val="TextBody"/>
        <w:bidi w:val="0"/>
        <w:spacing w:before="0" w:after="120"/>
        <w:jc w:val="left"/>
        <w:rPr>
          <w:rFonts w:ascii="Arial" w:hAnsi="Arial"/>
          <w:b/>
          <w:color w:val="000000"/>
          <w:sz w:val="28"/>
        </w:rPr>
      </w:pPr>
      <w:r>
        <w:rPr>
          <w:rFonts w:ascii="Arial" w:hAnsi="Arial"/>
          <w:b/>
          <w:color w:val="000000"/>
          <w:sz w:val="28"/>
        </w:rPr>
        <w:t>Capital management</w:t>
      </w:r>
    </w:p>
    <w:p>
      <w:pPr>
        <w:pStyle w:val="TextBody"/>
        <w:bidi w:val="0"/>
        <w:spacing w:before="0" w:after="120"/>
        <w:jc w:val="both"/>
        <w:rPr>
          <w:rFonts w:ascii="Arial" w:hAnsi="Arial"/>
          <w:color w:val="000000"/>
          <w:sz w:val="20"/>
        </w:rPr>
      </w:pPr>
      <w:r>
        <w:rPr>
          <w:rFonts w:ascii="Arial" w:hAnsi="Arial"/>
          <w:color w:val="000000"/>
          <w:sz w:val="20"/>
        </w:rPr>
        <w:t>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w:t>
      </w:r>
    </w:p>
    <w:p>
      <w:pPr>
        <w:pStyle w:val="TextBody"/>
        <w:bidi w:val="0"/>
        <w:spacing w:before="0" w:after="120"/>
        <w:jc w:val="both"/>
        <w:rPr>
          <w:rFonts w:ascii="Arial" w:hAnsi="Arial"/>
          <w:color w:val="000000"/>
          <w:sz w:val="20"/>
        </w:rPr>
      </w:pPr>
      <w:r>
        <w:rPr>
          <w:rFonts w:ascii="Arial" w:hAnsi="Arial"/>
          <w:color w:val="000000"/>
          <w:sz w:val="20"/>
        </w:rPr>
        <w:t>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w:t>
      </w:r>
    </w:p>
    <w:p>
      <w:pPr>
        <w:pStyle w:val="TextBody"/>
        <w:bidi w:val="0"/>
        <w:spacing w:before="0" w:after="120"/>
        <w:jc w:val="left"/>
        <w:rPr>
          <w:rFonts w:ascii="Arial" w:hAnsi="Arial"/>
          <w:b/>
          <w:color w:val="000000"/>
          <w:sz w:val="28"/>
        </w:rPr>
      </w:pPr>
      <w:r>
        <w:rPr>
          <w:rFonts w:ascii="Arial" w:hAnsi="Arial"/>
          <w:b/>
          <w:color w:val="000000"/>
          <w:sz w:val="28"/>
        </w:rPr>
        <w:t>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Arial" w:hAnsi="Arial"/>
          <w:b/>
          <w:color w:val="000000"/>
          <w:sz w:val="28"/>
        </w:rPr>
      </w:pPr>
      <w:r>
        <w:rPr>
          <w:rFonts w:ascii="Arial" w:hAnsi="Arial"/>
          <w:b/>
          <w:color w:val="000000"/>
          <w:sz w:val="28"/>
        </w:rPr>
        <w:t>Carrying amounts and fair values of financial instruments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Arial" w:hAnsi="Arial"/>
          <w:color w:val="000000"/>
          <w:sz w:val="20"/>
        </w:rPr>
      </w:pPr>
      <w:r>
        <w:rPr>
          <w:rFonts w:ascii="Arial" w:hAnsi="Arial"/>
          <w:color w:val="000000"/>
          <w:sz w:val="20"/>
        </w:rPr>
        <w:t>The following table discloses information of financial assets and financial instruments within the scope of IFRS 9.</w:t>
      </w:r>
    </w:p>
    <w:tbl>
      <w:tblPr>
        <w:tblW w:w="10046" w:type="dxa"/>
        <w:jc w:val="left"/>
        <w:tblInd w:w="0" w:type="dxa"/>
        <w:tblLayout w:type="fixed"/>
        <w:tblCellMar>
          <w:top w:w="28" w:type="dxa"/>
          <w:left w:w="28" w:type="dxa"/>
          <w:bottom w:w="28" w:type="dxa"/>
          <w:right w:w="28" w:type="dxa"/>
        </w:tblCellMar>
      </w:tblPr>
      <w:tblGrid>
        <w:gridCol w:w="3231"/>
        <w:gridCol w:w="1381"/>
        <w:gridCol w:w="251"/>
        <w:gridCol w:w="1189"/>
        <w:gridCol w:w="146"/>
        <w:gridCol w:w="300"/>
        <w:gridCol w:w="1425"/>
        <w:gridCol w:w="146"/>
        <w:gridCol w:w="193"/>
        <w:gridCol w:w="677"/>
        <w:gridCol w:w="146"/>
        <w:gridCol w:w="961"/>
      </w:tblGrid>
      <w:tr>
        <w:trPr/>
        <w:tc>
          <w:tcPr>
            <w:tcW w:w="323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Category IFRS 9</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amount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(AC)</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br/>
              <w:t>(FV)</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Fair value </w:t>
              <w:br/>
              <w:t>level</w:t>
            </w:r>
          </w:p>
        </w:tc>
      </w:tr>
      <w:tr>
        <w:trPr/>
        <w:tc>
          <w:tcPr>
            <w:tcW w:w="32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3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 - non-current</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Rental security deposit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non-current financial assets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 - current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Trade receivables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Investment fund</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FVtPL</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Derivative financial asset</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FVtPL</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Guarantee Deposit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and Cash equivalents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current financial assets</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2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w:t>
            </w:r>
          </w:p>
        </w:tc>
        <w:tc>
          <w:tcPr>
            <w:tcW w:w="13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liabilities - non-current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Financial liabilities to credit institutions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liabilities - current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Trade Payables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Financial liabilities from credit institutions</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Warrant derivative financial liability</w:t>
            </w:r>
          </w:p>
        </w:tc>
        <w:tc>
          <w:tcPr>
            <w:tcW w:w="13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r>
    </w:tbl>
    <w:p>
      <w:pPr>
        <w:pStyle w:val="TextBody"/>
        <w:bidi w:val="0"/>
        <w:spacing w:before="120" w:after="120"/>
        <w:jc w:val="both"/>
        <w:rPr/>
      </w:pPr>
      <w:r>
        <w:rPr/>
        <w:t> </w:t>
      </w:r>
    </w:p>
    <w:tbl>
      <w:tblPr>
        <w:tblW w:w="10046" w:type="dxa"/>
        <w:jc w:val="left"/>
        <w:tblInd w:w="0" w:type="dxa"/>
        <w:tblLayout w:type="fixed"/>
        <w:tblCellMar>
          <w:top w:w="28" w:type="dxa"/>
          <w:left w:w="28" w:type="dxa"/>
          <w:bottom w:w="28" w:type="dxa"/>
          <w:right w:w="28" w:type="dxa"/>
        </w:tblCellMar>
      </w:tblPr>
      <w:tblGrid>
        <w:gridCol w:w="3231"/>
        <w:gridCol w:w="1381"/>
        <w:gridCol w:w="251"/>
        <w:gridCol w:w="1189"/>
        <w:gridCol w:w="146"/>
        <w:gridCol w:w="300"/>
        <w:gridCol w:w="1425"/>
        <w:gridCol w:w="146"/>
        <w:gridCol w:w="193"/>
        <w:gridCol w:w="677"/>
        <w:gridCol w:w="146"/>
        <w:gridCol w:w="961"/>
      </w:tblGrid>
      <w:tr>
        <w:trPr/>
        <w:tc>
          <w:tcPr>
            <w:tcW w:w="323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Category IFRS 9</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amount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(AC)</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br/>
              <w:t>(FV)</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Fair value </w:t>
              <w:br/>
              <w:t>level</w:t>
            </w:r>
          </w:p>
        </w:tc>
      </w:tr>
      <w:tr>
        <w:trPr/>
        <w:tc>
          <w:tcPr>
            <w:tcW w:w="32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3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 - non-current</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Rental security deposit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non-current financial assets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assets - current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Trade receivables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Investment fund</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FVtPL</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and Cash equivalents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146,544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2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w:t>
            </w:r>
          </w:p>
        </w:tc>
        <w:tc>
          <w:tcPr>
            <w:tcW w:w="13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liabilities - non-current</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Convertible Loans</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7,063</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7,063</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Financial liabilities to credit institutions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liabilities - current</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Trade Payables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323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Financial liabilities from credit institutions</w:t>
            </w:r>
          </w:p>
        </w:tc>
        <w:tc>
          <w:tcPr>
            <w:tcW w:w="1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AC</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w:t>
            </w:r>
          </w:p>
        </w:tc>
      </w:tr>
      <w:tr>
        <w:trPr/>
        <w:tc>
          <w:tcPr>
            <w:tcW w:w="323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Embedded derivative financial liabilities</w:t>
            </w:r>
          </w:p>
        </w:tc>
        <w:tc>
          <w:tcPr>
            <w:tcW w:w="1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FVtPL</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3</w:t>
            </w:r>
          </w:p>
        </w:tc>
      </w:tr>
      <w:tr>
        <w:trPr/>
        <w:tc>
          <w:tcPr>
            <w:tcW w:w="32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Warrant derivative financial liability</w:t>
            </w:r>
          </w:p>
        </w:tc>
        <w:tc>
          <w:tcPr>
            <w:tcW w:w="13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FVtPL</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w:t>
      </w:r>
    </w:p>
    <w:p>
      <w:pPr>
        <w:pStyle w:val="TextBody"/>
        <w:bidi w:val="0"/>
        <w:spacing w:before="0" w:after="120"/>
        <w:jc w:val="both"/>
        <w:rPr>
          <w:rFonts w:ascii="Arial" w:hAnsi="Arial"/>
          <w:color w:val="000000"/>
          <w:sz w:val="20"/>
        </w:rPr>
      </w:pPr>
      <w:r>
        <w:rPr>
          <w:rFonts w:ascii="Arial" w:hAnsi="Arial"/>
          <w:color w:val="000000"/>
          <w:sz w:val="20"/>
        </w:rPr>
        <w:t>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w:t>
      </w:r>
    </w:p>
    <w:p>
      <w:pPr>
        <w:pStyle w:val="TextBody"/>
        <w:bidi w:val="0"/>
        <w:spacing w:before="0" w:after="120"/>
        <w:jc w:val="both"/>
        <w:rPr>
          <w:rFonts w:ascii="Arial" w:hAnsi="Arial"/>
          <w:color w:val="000000"/>
          <w:sz w:val="20"/>
        </w:rPr>
      </w:pPr>
      <w:r>
        <w:rPr>
          <w:rFonts w:ascii="Arial" w:hAnsi="Arial"/>
          <w:color w:val="000000"/>
          <w:sz w:val="20"/>
        </w:rPr>
        <w:t>The derivative financial asset is measured at fair value through profit or loss and is classified within Level 2 of the fair value hierarchy. The fair value is dependent on observable foreign exchange rates between the USD and EURO, which represent market-based inputs available at the measurement date. Changes in these observable market inputs are reflected in the fair value of the derivative financial asset and are recognized in profit or loss.</w:t>
      </w:r>
    </w:p>
    <w:p>
      <w:pPr>
        <w:pStyle w:val="TextBody"/>
        <w:bidi w:val="0"/>
        <w:spacing w:before="0" w:after="120"/>
        <w:jc w:val="both"/>
        <w:rPr>
          <w:rFonts w:ascii="Arial" w:hAnsi="Arial"/>
          <w:color w:val="000000"/>
          <w:sz w:val="20"/>
        </w:rPr>
      </w:pPr>
      <w:r>
        <w:rPr>
          <w:rFonts w:ascii="Arial" w:hAnsi="Arial"/>
          <w:color w:val="000000"/>
          <w:sz w:val="20"/>
        </w:rPr>
        <w:t>Non-current financial liabilities are assigned to level 2 as the lowest level input that is significant to the fair value measurement is directly or indirectly observable:</w:t>
      </w:r>
    </w:p>
    <w:p>
      <w:pPr>
        <w:pStyle w:val="TextBody"/>
        <w:bidi w:val="0"/>
        <w:spacing w:before="0" w:after="120"/>
        <w:jc w:val="both"/>
        <w:rPr>
          <w:rFonts w:ascii="Arial" w:hAnsi="Arial"/>
          <w:color w:val="000000"/>
          <w:sz w:val="20"/>
        </w:rPr>
      </w:pPr>
      <w:r>
        <w:rPr>
          <w:rFonts w:ascii="Arial" w:hAnsi="Arial"/>
          <w:color w:val="000000"/>
          <w:sz w:val="20"/>
        </w:rPr>
        <w:t>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w:t>
      </w:r>
    </w:p>
    <w:p>
      <w:pPr>
        <w:pStyle w:val="TextBody"/>
        <w:bidi w:val="0"/>
        <w:jc w:val="both"/>
        <w:rPr>
          <w:rFonts w:ascii="Arial" w:hAnsi="Arial"/>
          <w:color w:val="000000"/>
          <w:sz w:val="20"/>
        </w:rPr>
      </w:pPr>
      <w:r>
        <w:rPr>
          <w:rFonts w:ascii="Arial" w:hAnsi="Arial"/>
          <w:color w:val="000000"/>
          <w:sz w:val="20"/>
        </w:rPr>
        <w:t>Short-term financial liabilities to credit institutions as at June 30, 2026 comprise the contractual principal repayments due within the next twelve months under the government loan.</w:t>
      </w:r>
    </w:p>
    <w:p>
      <w:pPr>
        <w:pStyle w:val="TextBody"/>
        <w:bidi w:val="0"/>
        <w:spacing w:before="120" w:after="283"/>
        <w:jc w:val="both"/>
        <w:rPr>
          <w:rFonts w:ascii="Arial" w:hAnsi="Arial"/>
          <w:b/>
          <w:color w:val="000000"/>
          <w:sz w:val="20"/>
          <w:u w:val="single"/>
        </w:rPr>
      </w:pPr>
      <w:r>
        <w:rPr>
          <w:rFonts w:ascii="Arial" w:hAnsi="Arial"/>
          <w:b/>
          <w:color w:val="000000"/>
          <w:sz w:val="20"/>
          <w:u w:val="single"/>
        </w:rPr>
        <w:t>Level 3 Fair Values</w:t>
      </w:r>
    </w:p>
    <w:p>
      <w:pPr>
        <w:pStyle w:val="TextBody"/>
        <w:bidi w:val="0"/>
        <w:spacing w:before="120" w:after="283"/>
        <w:jc w:val="both"/>
        <w:rPr>
          <w:rFonts w:ascii="Arial" w:hAnsi="Arial"/>
          <w:color w:val="000000"/>
          <w:sz w:val="20"/>
        </w:rPr>
      </w:pPr>
      <w:r>
        <w:rPr>
          <w:rFonts w:ascii="Arial" w:hAnsi="Arial"/>
          <w:color w:val="000000"/>
          <w:sz w:val="20"/>
        </w:rPr>
        <w:t>The fair values of the embedded derivatives were determined using Level 3 valuation techniques, incorporating assumptions regarding future equity values, conversion probabilities and risk-free market interest rates. Key inputs to the valuation are not observable in the market.</w:t>
      </w:r>
    </w:p>
    <w:p>
      <w:pPr>
        <w:pStyle w:val="TextBody"/>
        <w:bidi w:val="0"/>
        <w:spacing w:before="120" w:after="283"/>
        <w:jc w:val="both"/>
        <w:rPr>
          <w:rFonts w:ascii="Arial" w:hAnsi="Arial"/>
          <w:color w:val="000000"/>
          <w:sz w:val="20"/>
        </w:rPr>
      </w:pPr>
      <w:r>
        <w:rPr>
          <w:rFonts w:ascii="Arial" w:hAnsi="Arial"/>
          <w:color w:val="000000"/>
          <w:sz w:val="20"/>
        </w:rPr>
        <w:t>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w:t>
      </w:r>
    </w:p>
    <w:p>
      <w:pPr>
        <w:pStyle w:val="TextBody"/>
        <w:bidi w:val="0"/>
        <w:spacing w:before="120" w:after="283"/>
        <w:jc w:val="both"/>
        <w:rPr>
          <w:rFonts w:ascii="Arial" w:hAnsi="Arial"/>
          <w:color w:val="000000"/>
          <w:sz w:val="20"/>
        </w:rPr>
      </w:pPr>
      <w:r>
        <w:rPr>
          <w:rFonts w:ascii="Arial" w:hAnsi="Arial"/>
          <w:color w:val="000000"/>
          <w:sz w:val="20"/>
        </w:rPr>
        <w:t>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 There were no indications of material changes in the fair value of the warrants between the reporting date and the exercise date.</w:t>
      </w:r>
    </w:p>
    <w:p>
      <w:pPr>
        <w:pStyle w:val="TextBody"/>
        <w:bidi w:val="0"/>
        <w:spacing w:before="120" w:after="283"/>
        <w:jc w:val="both"/>
        <w:rPr>
          <w:rFonts w:ascii="Arial" w:hAnsi="Arial"/>
          <w:color w:val="000000"/>
          <w:sz w:val="20"/>
        </w:rPr>
      </w:pPr>
      <w:r>
        <w:rPr>
          <w:rFonts w:ascii="Arial" w:hAnsi="Arial"/>
          <w:color w:val="000000"/>
          <w:sz w:val="20"/>
        </w:rPr>
        <w:t>The warrants remained classified within Level 3 of the fair value hierarchy as at June 30, 2026, as their fair value measurement continued to rely on significant unobservable assumptions.</w:t>
      </w:r>
    </w:p>
    <w:p>
      <w:pPr>
        <w:pStyle w:val="TextBody"/>
        <w:bidi w:val="0"/>
        <w:spacing w:before="120" w:after="283"/>
        <w:jc w:val="both"/>
        <w:rPr>
          <w:rFonts w:ascii="Arial" w:hAnsi="Arial"/>
          <w:color w:val="000000"/>
          <w:sz w:val="20"/>
        </w:rPr>
      </w:pPr>
      <w:r>
        <w:rPr>
          <w:rFonts w:ascii="Arial" w:hAnsi="Arial"/>
          <w:color w:val="000000"/>
          <w:sz w:val="20"/>
        </w:rPr>
        <w:t>As the derivative financial liability was settled shortly after the reporting date at a value determined by the listing and the warrant exercise, the Company decided to use the final settlement value rather than a hypothetical sensitivity analysis based on reasonably possible alternative assumptions that, in the event, did not materialize. Accordingly, no quantitative sensitivity analysis is presented.</w:t>
      </w:r>
    </w:p>
    <w:p>
      <w:pPr>
        <w:pStyle w:val="TextBody"/>
        <w:bidi w:val="0"/>
        <w:spacing w:before="120" w:after="120"/>
        <w:jc w:val="both"/>
        <w:rPr>
          <w:rFonts w:ascii="Arial" w:hAnsi="Arial"/>
          <w:color w:val="000000"/>
          <w:sz w:val="20"/>
        </w:rPr>
      </w:pPr>
      <w:r>
        <w:rPr>
          <w:rFonts w:ascii="Arial" w:hAnsi="Arial"/>
          <w:color w:val="000000"/>
          <w:sz w:val="20"/>
        </w:rPr>
        <w:t>The following table presents a reconciliation from the opening balance to the closing balance for recurring fair value measurements categorized within Level 3 of the fair value hierarchy.</w:t>
      </w:r>
    </w:p>
    <w:tbl>
      <w:tblPr>
        <w:tblW w:w="7704" w:type="dxa"/>
        <w:jc w:val="left"/>
        <w:tblInd w:w="0" w:type="dxa"/>
        <w:tblLayout w:type="fixed"/>
        <w:tblCellMar>
          <w:top w:w="28" w:type="dxa"/>
          <w:left w:w="28" w:type="dxa"/>
          <w:bottom w:w="28" w:type="dxa"/>
          <w:right w:w="28" w:type="dxa"/>
        </w:tblCellMar>
      </w:tblPr>
      <w:tblGrid>
        <w:gridCol w:w="3196"/>
        <w:gridCol w:w="583"/>
        <w:gridCol w:w="2657"/>
        <w:gridCol w:w="166"/>
        <w:gridCol w:w="180"/>
        <w:gridCol w:w="631"/>
        <w:gridCol w:w="291"/>
      </w:tblGrid>
      <w:tr>
        <w:trPr/>
        <w:tc>
          <w:tcPr>
            <w:tcW w:w="31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Embedded derivative financial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Warrants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January 1, 2026</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recognized in finance expense</w:t>
            </w:r>
          </w:p>
        </w:tc>
        <w:tc>
          <w:tcPr>
            <w:tcW w:w="32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Net change in fair value (unrealized)</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Derecognition upon conversion into equity</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2026</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6,581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74" w:type="dxa"/>
        <w:jc w:val="left"/>
        <w:tblInd w:w="0" w:type="dxa"/>
        <w:tblLayout w:type="fixed"/>
        <w:tblCellMar>
          <w:top w:w="28" w:type="dxa"/>
          <w:left w:w="28" w:type="dxa"/>
          <w:bottom w:w="28" w:type="dxa"/>
          <w:right w:w="28" w:type="dxa"/>
        </w:tblCellMar>
      </w:tblPr>
      <w:tblGrid>
        <w:gridCol w:w="4266"/>
        <w:gridCol w:w="630"/>
        <w:gridCol w:w="2610"/>
        <w:gridCol w:w="166"/>
        <w:gridCol w:w="180"/>
        <w:gridCol w:w="631"/>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Embedded derivative financial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Warrants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January 1, 2025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Financial instruments issued during the reporting period</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recognized in finance expense</w:t>
            </w:r>
          </w:p>
        </w:tc>
        <w:tc>
          <w:tcPr>
            <w:tcW w:w="3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change in fair value (unrealized)</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Financial instruments offset during the reporting period</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2025</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Upon conversion of the Aalto Loans on June 30, 2026, the embedded derivative liability was remeasured at fair value immediately before settlement. The embedded derivative was therefore remeasured at its incremental value using the share price of EUR 846.45, as implied by the PIPE financing reference price, as the sole significant input. No option-pricing model or additional unobservable inputs were applied at this measurement date. The resulting carrying amount of EUR 15,144 thousand was derecognized in full and transferred directly to equity, together with the carrying amount of the host liability, and recognized within capital reserve. No further gain or loss arose on derecognition.</w:t>
      </w:r>
    </w:p>
    <w:p>
      <w:pPr>
        <w:pStyle w:val="TextBody"/>
        <w:bidi w:val="0"/>
        <w:spacing w:before="0" w:after="120"/>
        <w:jc w:val="both"/>
        <w:rPr>
          <w:rFonts w:ascii="Arial" w:hAnsi="Arial"/>
          <w:color w:val="000000"/>
          <w:sz w:val="20"/>
        </w:rPr>
      </w:pPr>
      <w:r>
        <w:rPr>
          <w:rFonts w:ascii="Arial" w:hAnsi="Arial"/>
          <w:color w:val="000000"/>
          <w:sz w:val="20"/>
        </w:rPr>
        <w:t>For the period from January 1, 2026 to the Conversion Date, a fair value loss of EUR 9,022 thousand on the derivative financial liability was recognized in finance expenses in profit or loss, reflecting the remeasurement of the conversion feature up to the date of derecognition.</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9.</w:t>
      </w:r>
    </w:p>
    <w:p>
      <w:pPr>
        <w:pStyle w:val="TextBody"/>
        <w:bidi w:val="0"/>
        <w:spacing w:before="120" w:after="120"/>
        <w:jc w:val="left"/>
        <w:rPr>
          <w:rFonts w:ascii="Arial" w:hAnsi="Arial"/>
          <w:b/>
          <w:color w:val="000000"/>
          <w:sz w:val="36"/>
        </w:rPr>
      </w:pPr>
      <w:r>
        <w:rPr>
          <w:rFonts w:ascii="Arial" w:hAnsi="Arial"/>
          <w:b/>
          <w:color w:val="000000"/>
          <w:sz w:val="36"/>
        </w:rPr>
        <w:t>Composition of the group</w:t>
      </w:r>
    </w:p>
    <w:p>
      <w:pPr>
        <w:pStyle w:val="TextBody"/>
        <w:bidi w:val="0"/>
        <w:spacing w:before="0" w:after="120"/>
        <w:jc w:val="both"/>
        <w:rPr>
          <w:rFonts w:ascii="Arial" w:hAnsi="Arial"/>
          <w:color w:val="000000"/>
          <w:sz w:val="20"/>
        </w:rPr>
      </w:pPr>
      <w:r>
        <w:rPr>
          <w:rFonts w:ascii="Arial" w:hAnsi="Arial"/>
          <w:color w:val="000000"/>
          <w:sz w:val="20"/>
        </w:rPr>
        <w:t>IQM’s subsidiaries as of June 30, 2026,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w:t>
      </w:r>
    </w:p>
    <w:tbl>
      <w:tblPr>
        <w:tblW w:w="7539" w:type="dxa"/>
        <w:jc w:val="left"/>
        <w:tblInd w:w="0" w:type="dxa"/>
        <w:tblLayout w:type="fixed"/>
        <w:tblCellMar>
          <w:top w:w="28" w:type="dxa"/>
          <w:left w:w="28" w:type="dxa"/>
          <w:bottom w:w="28" w:type="dxa"/>
          <w:right w:w="28" w:type="dxa"/>
        </w:tblCellMar>
      </w:tblPr>
      <w:tblGrid>
        <w:gridCol w:w="2341"/>
        <w:gridCol w:w="2086"/>
        <w:gridCol w:w="326"/>
        <w:gridCol w:w="844"/>
        <w:gridCol w:w="176"/>
        <w:gridCol w:w="440"/>
        <w:gridCol w:w="1135"/>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equity interest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Country of incorporation</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Germany GmbH</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Germany</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Quantum Computers S.L.</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Spain</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France SAS</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France</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Singapore PTE. LTD.</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Singapore</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US Inc.</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United States</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Polska Sp. z o.o.</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Poland</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Italy S.R.L.</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Italy</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Japan K.K.</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Japan</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US LLC</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USA</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Eclipse QC S.á.r.l.</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Luxembourg</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IQM U.K. LTD</w:t>
            </w:r>
          </w:p>
        </w:tc>
        <w:tc>
          <w:tcPr>
            <w:tcW w:w="2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United Kingdom</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Group's subsidiary Eclipse QC S.á.r.l. was acquired in February 2026 and the US LLC was established in February 2026. In April 2026 the subsidiary IQM U.K. LTD was established.</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36"/>
        </w:rPr>
      </w:pPr>
      <w:r>
        <w:rPr>
          <w:rFonts w:ascii="Arial" w:hAnsi="Arial"/>
          <w:b/>
          <w:color w:val="000000"/>
          <w:sz w:val="36"/>
        </w:rPr>
        <w:t>10.</w:t>
      </w:r>
    </w:p>
    <w:p>
      <w:pPr>
        <w:pStyle w:val="TextBody"/>
        <w:bidi w:val="0"/>
        <w:spacing w:before="120" w:after="120"/>
        <w:jc w:val="left"/>
        <w:rPr>
          <w:rFonts w:ascii="Arial" w:hAnsi="Arial"/>
          <w:b/>
          <w:color w:val="000000"/>
          <w:sz w:val="36"/>
        </w:rPr>
      </w:pPr>
      <w:r>
        <w:rPr>
          <w:rFonts w:ascii="Arial" w:hAnsi="Arial"/>
          <w:b/>
          <w:color w:val="000000"/>
          <w:sz w:val="36"/>
        </w:rPr>
        <w:t>Related party transactions</w:t>
      </w:r>
    </w:p>
    <w:p>
      <w:pPr>
        <w:pStyle w:val="TextBody"/>
        <w:bidi w:val="0"/>
        <w:spacing w:before="0" w:after="120"/>
        <w:jc w:val="both"/>
        <w:rPr>
          <w:rFonts w:ascii="Arial" w:hAnsi="Arial"/>
          <w:color w:val="000000"/>
          <w:sz w:val="20"/>
        </w:rPr>
      </w:pPr>
      <w:r>
        <w:rPr>
          <w:rFonts w:ascii="Arial" w:hAnsi="Arial"/>
          <w:color w:val="000000"/>
          <w:sz w:val="20"/>
        </w:rPr>
        <w:t>All business transactions, receivables and liabilities with related parties existing at the reporting date result from ordinary business activities.</w:t>
      </w:r>
    </w:p>
    <w:p>
      <w:pPr>
        <w:pStyle w:val="TextBody"/>
        <w:bidi w:val="0"/>
        <w:spacing w:before="0" w:after="120"/>
        <w:jc w:val="left"/>
        <w:rPr>
          <w:rFonts w:ascii="Arial" w:hAnsi="Arial"/>
          <w:b/>
          <w:color w:val="000000"/>
          <w:sz w:val="28"/>
        </w:rPr>
      </w:pPr>
      <w:r>
        <w:rPr>
          <w:rFonts w:ascii="Arial" w:hAnsi="Arial"/>
          <w:b/>
          <w:color w:val="000000"/>
          <w:sz w:val="28"/>
        </w:rPr>
        <w:t>10.1.</w:t>
      </w:r>
    </w:p>
    <w:p>
      <w:pPr>
        <w:pStyle w:val="TextBody"/>
        <w:bidi w:val="0"/>
        <w:spacing w:before="0" w:after="120"/>
        <w:jc w:val="left"/>
        <w:rPr>
          <w:rFonts w:ascii="Arial" w:hAnsi="Arial"/>
          <w:b/>
          <w:color w:val="000000"/>
          <w:sz w:val="28"/>
        </w:rPr>
      </w:pPr>
      <w:r>
        <w:rPr>
          <w:rFonts w:ascii="Arial" w:hAnsi="Arial"/>
          <w:b/>
          <w:color w:val="000000"/>
          <w:sz w:val="28"/>
        </w:rPr>
        <w:t>Remuneration key management personnel</w:t>
      </w:r>
    </w:p>
    <w:p>
      <w:pPr>
        <w:pStyle w:val="TextBody"/>
        <w:bidi w:val="0"/>
        <w:spacing w:before="0" w:after="120"/>
        <w:jc w:val="both"/>
        <w:rPr>
          <w:rFonts w:ascii="Arial" w:hAnsi="Arial"/>
          <w:color w:val="000000"/>
          <w:sz w:val="20"/>
        </w:rPr>
      </w:pPr>
      <w:r>
        <w:rPr>
          <w:rFonts w:ascii="Arial" w:hAnsi="Arial"/>
          <w:color w:val="000000"/>
          <w:sz w:val="20"/>
        </w:rPr>
        <w:t>The remuneration of key management personnel includes short-term employee benefits and share-based payments.</w:t>
      </w:r>
    </w:p>
    <w:tbl>
      <w:tblPr>
        <w:tblW w:w="9800" w:type="dxa"/>
        <w:jc w:val="left"/>
        <w:tblInd w:w="0" w:type="dxa"/>
        <w:tblLayout w:type="fixed"/>
        <w:tblCellMar>
          <w:top w:w="28" w:type="dxa"/>
          <w:left w:w="28" w:type="dxa"/>
          <w:bottom w:w="28" w:type="dxa"/>
          <w:right w:w="28" w:type="dxa"/>
        </w:tblCellMar>
      </w:tblPr>
      <w:tblGrid>
        <w:gridCol w:w="3586"/>
        <w:gridCol w:w="333"/>
        <w:gridCol w:w="1168"/>
        <w:gridCol w:w="333"/>
        <w:gridCol w:w="333"/>
        <w:gridCol w:w="860"/>
        <w:gridCol w:w="146"/>
        <w:gridCol w:w="314"/>
        <w:gridCol w:w="1099"/>
        <w:gridCol w:w="314"/>
        <w:gridCol w:w="314"/>
        <w:gridCol w:w="809"/>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28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Short-term employee benefits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Post-Employment Pension and Medical Benefits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Share-based payment transactions</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961</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1,159</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2,402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Short-term employee benefits include salary and other non-monetary benefits.</w:t>
      </w:r>
    </w:p>
    <w:p>
      <w:pPr>
        <w:pStyle w:val="TextBody"/>
        <w:bidi w:val="0"/>
        <w:jc w:val="both"/>
        <w:rPr>
          <w:rFonts w:ascii="Arial" w:hAnsi="Arial"/>
          <w:color w:val="000000"/>
          <w:sz w:val="20"/>
        </w:rPr>
      </w:pPr>
      <w:r>
        <w:rPr>
          <w:rFonts w:ascii="Arial" w:hAnsi="Arial"/>
          <w:color w:val="000000"/>
          <w:sz w:val="20"/>
        </w:rPr>
        <w:t>As of June 30, 2026, accrued bonus liabilities amounted to EUR 227 thousand (June 30, 2025: EUR 37 thousand). Accrued bonus liabilities increased by EUR 100 thousand to EUR 114 thousand for the three months ended June 30, 2026 as compared to EUR 23 thousand for the three months ended June 30, 2025.</w:t>
      </w:r>
    </w:p>
    <w:p>
      <w:pPr>
        <w:pStyle w:val="TextBody"/>
        <w:bidi w:val="0"/>
        <w:spacing w:before="120" w:after="283"/>
        <w:jc w:val="both"/>
        <w:rPr>
          <w:rFonts w:ascii="Arial" w:hAnsi="Arial"/>
          <w:color w:val="000000"/>
          <w:sz w:val="20"/>
        </w:rPr>
      </w:pPr>
      <w:r>
        <w:rPr>
          <w:rFonts w:ascii="Arial" w:hAnsi="Arial"/>
          <w:color w:val="000000"/>
          <w:sz w:val="20"/>
        </w:rPr>
        <w:t>The accruals reflect management’s best estimate of the expected payout based on current salary levels and performance assumptions at the reporting date. All accrued amounts are expected to be settled in cash within the following financial year.</w:t>
      </w:r>
    </w:p>
    <w:p>
      <w:pPr>
        <w:pStyle w:val="TextBody"/>
        <w:bidi w:val="0"/>
        <w:spacing w:before="120" w:after="283"/>
        <w:jc w:val="both"/>
        <w:rPr/>
      </w:pPr>
      <w:r>
        <w:rPr>
          <w:rFonts w:ascii="Arial" w:hAnsi="Arial"/>
          <w:color w:val="000000"/>
          <w:sz w:val="20"/>
        </w:rPr>
        <w:t xml:space="preserve">Share-based payments include expenses for stock options (see Note </w:t>
      </w:r>
      <w:hyperlink w:anchor="share_based_payment">
        <w:r>
          <w:rPr>
            <w:rStyle w:val="InternetLink"/>
            <w:rFonts w:ascii="Arial" w:hAnsi="Arial"/>
            <w:color w:val="0000FF"/>
            <w:sz w:val="20"/>
            <w:u w:val="single"/>
          </w:rPr>
          <w:t>5.6</w:t>
        </w:r>
      </w:hyperlink>
      <w:r>
        <w:rPr>
          <w:rFonts w:ascii="Arial" w:hAnsi="Arial"/>
          <w:color w:val="000000"/>
          <w:sz w:val="20"/>
        </w:rPr>
        <w:t>).</w:t>
      </w:r>
    </w:p>
    <w:p>
      <w:pPr>
        <w:pStyle w:val="TextBody"/>
        <w:bidi w:val="0"/>
        <w:spacing w:before="120" w:after="120"/>
        <w:jc w:val="left"/>
        <w:rPr>
          <w:rFonts w:ascii="Arial" w:hAnsi="Arial"/>
          <w:b/>
          <w:color w:val="000000"/>
          <w:sz w:val="28"/>
        </w:rPr>
      </w:pPr>
      <w:r>
        <w:rPr>
          <w:rFonts w:ascii="Arial" w:hAnsi="Arial"/>
          <w:b/>
          <w:color w:val="000000"/>
          <w:sz w:val="28"/>
        </w:rPr>
        <w:t>10.2.</w:t>
      </w:r>
    </w:p>
    <w:p>
      <w:pPr>
        <w:pStyle w:val="TextBody"/>
        <w:bidi w:val="0"/>
        <w:spacing w:before="120" w:after="120"/>
        <w:jc w:val="left"/>
        <w:rPr>
          <w:rFonts w:ascii="Arial" w:hAnsi="Arial"/>
          <w:b/>
          <w:color w:val="000000"/>
          <w:sz w:val="28"/>
        </w:rPr>
      </w:pPr>
      <w:r>
        <w:rPr>
          <w:rFonts w:ascii="Arial" w:hAnsi="Arial"/>
          <w:b/>
          <w:color w:val="000000"/>
          <w:sz w:val="28"/>
        </w:rPr>
        <w:t>Other related party transactions</w:t>
      </w:r>
    </w:p>
    <w:tbl>
      <w:tblPr>
        <w:tblW w:w="10205" w:type="dxa"/>
        <w:jc w:val="left"/>
        <w:tblInd w:w="0" w:type="dxa"/>
        <w:tblLayout w:type="fixed"/>
        <w:tblCellMar>
          <w:top w:w="28" w:type="dxa"/>
          <w:left w:w="28" w:type="dxa"/>
          <w:bottom w:w="28" w:type="dxa"/>
          <w:right w:w="28" w:type="dxa"/>
        </w:tblCellMar>
      </w:tblPr>
      <w:tblGrid>
        <w:gridCol w:w="2221"/>
        <w:gridCol w:w="146"/>
        <w:gridCol w:w="724"/>
        <w:gridCol w:w="812"/>
        <w:gridCol w:w="715"/>
        <w:gridCol w:w="723"/>
        <w:gridCol w:w="819"/>
        <w:gridCol w:w="146"/>
        <w:gridCol w:w="461"/>
        <w:gridCol w:w="583"/>
        <w:gridCol w:w="434"/>
        <w:gridCol w:w="434"/>
        <w:gridCol w:w="1790"/>
        <w:gridCol w:w="197"/>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Services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values 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values for the six months ended June 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EUR thousand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Financing by other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Membership 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40,209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Other related party transactions include Series B investments from funds under control or significant influence of Board members and membership fees.</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36"/>
        </w:rPr>
      </w:pPr>
      <w:r>
        <w:rPr>
          <w:rFonts w:ascii="Arial" w:hAnsi="Arial"/>
          <w:b/>
          <w:color w:val="000000"/>
          <w:sz w:val="36"/>
        </w:rPr>
        <w:t>11.</w:t>
      </w:r>
    </w:p>
    <w:p>
      <w:pPr>
        <w:pStyle w:val="TextBody"/>
        <w:bidi w:val="0"/>
        <w:spacing w:before="120" w:after="283"/>
        <w:jc w:val="left"/>
        <w:rPr>
          <w:rFonts w:ascii="Arial" w:hAnsi="Arial"/>
          <w:b/>
          <w:color w:val="000000"/>
          <w:sz w:val="36"/>
        </w:rPr>
      </w:pPr>
      <w:r>
        <w:rPr>
          <w:rFonts w:ascii="Arial" w:hAnsi="Arial"/>
          <w:b/>
          <w:color w:val="000000"/>
          <w:sz w:val="36"/>
        </w:rPr>
        <w:t>Contingencies and Commitments</w:t>
      </w:r>
    </w:p>
    <w:p>
      <w:pPr>
        <w:pStyle w:val="TextBody"/>
        <w:bidi w:val="0"/>
        <w:spacing w:before="120" w:after="283"/>
        <w:jc w:val="both"/>
        <w:rPr>
          <w:rFonts w:ascii="Times New Roman" w:hAnsi="Times New Roman"/>
          <w:sz w:val="20"/>
        </w:rPr>
      </w:pPr>
      <w:r>
        <w:rPr>
          <w:rFonts w:ascii="Arial" w:hAnsi="Arial"/>
          <w:color w:val="000000"/>
          <w:sz w:val="21"/>
        </w:rPr>
        <w:t>The Group has issued performance guarantees and advance payment guarantees to customers in connection with ongoing delivery projects totaling EUR 13,325 thousand (</w:t>
      </w:r>
      <w:r>
        <w:rPr>
          <w:rFonts w:ascii="Arial" w:hAnsi="Arial"/>
          <w:color w:val="000000"/>
          <w:sz w:val="20"/>
        </w:rPr>
        <w:t>December 31, 2025</w:t>
      </w:r>
      <w:r>
        <w:rPr>
          <w:rFonts w:ascii="Arial" w:hAnsi="Arial"/>
          <w:color w:val="000000"/>
          <w:sz w:val="21"/>
        </w:rPr>
        <w:t>: EUR 13,325 thousand). These guarantees are typically issued by financial institutions on behalf of the Group and secure the Group's contractual obligations to deliver quantum computing systems in accordance with agreed specifications and timelines.</w:t>
      </w:r>
    </w:p>
    <w:p>
      <w:pPr>
        <w:pStyle w:val="TextBody"/>
        <w:bidi w:val="0"/>
        <w:spacing w:before="120" w:after="283"/>
        <w:jc w:val="both"/>
        <w:rPr>
          <w:rFonts w:ascii="Arial" w:hAnsi="Arial"/>
          <w:color w:val="000000"/>
          <w:sz w:val="20"/>
        </w:rPr>
      </w:pPr>
      <w:r>
        <w:rPr>
          <w:rFonts w:ascii="Arial" w:hAnsi="Arial"/>
          <w:color w:val="000000"/>
          <w:sz w:val="20"/>
        </w:rPr>
        <w:t>In connection with the closing of the Business combination and the capital increase in relation to the PIPE financing in July 2026, the Group has entered into total commitments of EUR 13,474 thousand as of June 30, 2026, comprising placement and transaction fees. These commitments are contractually agreed and become due upon successful completion of the closing.</w:t>
      </w:r>
    </w:p>
    <w:p>
      <w:pPr>
        <w:pStyle w:val="TextBody"/>
        <w:bidi w:val="0"/>
        <w:spacing w:before="120" w:after="283"/>
        <w:jc w:val="both"/>
        <w:rPr>
          <w:rFonts w:ascii="Arial" w:hAnsi="Arial"/>
          <w:color w:val="000000"/>
          <w:sz w:val="20"/>
        </w:rPr>
      </w:pPr>
      <w:r>
        <w:rPr>
          <w:rFonts w:ascii="Arial" w:hAnsi="Arial"/>
          <w:color w:val="000000"/>
          <w:sz w:val="20"/>
        </w:rPr>
        <w:t>As at June 30, 2026, the Group had entered into a lease agreement that has not yet commenced. The undiscounted future lease payments under this agreement amounted to EUR 3,820 thousand.</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36"/>
        </w:rPr>
      </w:pPr>
      <w:r>
        <w:rPr>
          <w:rFonts w:ascii="Arial" w:hAnsi="Arial"/>
          <w:b/>
          <w:color w:val="000000"/>
          <w:sz w:val="36"/>
        </w:rPr>
        <w:t>12.</w:t>
      </w:r>
    </w:p>
    <w:p>
      <w:pPr>
        <w:pStyle w:val="TextBody"/>
        <w:bidi w:val="0"/>
        <w:spacing w:before="120" w:after="283"/>
        <w:jc w:val="left"/>
        <w:rPr>
          <w:rFonts w:ascii="Arial" w:hAnsi="Arial"/>
          <w:b/>
          <w:color w:val="000000"/>
          <w:sz w:val="36"/>
        </w:rPr>
      </w:pPr>
      <w:r>
        <w:rPr>
          <w:rFonts w:ascii="Arial" w:hAnsi="Arial"/>
          <w:b/>
          <w:color w:val="000000"/>
          <w:sz w:val="36"/>
        </w:rPr>
        <w:t>Events after the interim period</w:t>
      </w:r>
    </w:p>
    <w:p>
      <w:pPr>
        <w:pStyle w:val="TextBody"/>
        <w:bidi w:val="0"/>
        <w:spacing w:before="120" w:after="283"/>
        <w:jc w:val="both"/>
        <w:rPr>
          <w:rFonts w:ascii="Arial" w:hAnsi="Arial"/>
          <w:color w:val="000000"/>
          <w:sz w:val="20"/>
          <w:u w:val="single"/>
        </w:rPr>
      </w:pPr>
      <w:r>
        <w:rPr>
          <w:rFonts w:ascii="Arial" w:hAnsi="Arial"/>
          <w:color w:val="000000"/>
          <w:sz w:val="20"/>
          <w:u w:val="single"/>
        </w:rPr>
        <w:t>Quantistry acquisition:</w:t>
      </w:r>
    </w:p>
    <w:p>
      <w:pPr>
        <w:pStyle w:val="TextBody"/>
        <w:bidi w:val="0"/>
        <w:spacing w:before="120" w:after="283"/>
        <w:jc w:val="both"/>
        <w:rPr>
          <w:rFonts w:ascii="Arial" w:hAnsi="Arial"/>
          <w:color w:val="000000"/>
          <w:sz w:val="20"/>
        </w:rPr>
      </w:pPr>
      <w:r>
        <w:rPr>
          <w:rFonts w:ascii="Arial" w:hAnsi="Arial"/>
          <w:color w:val="000000"/>
          <w:sz w:val="20"/>
        </w:rPr>
        <w:t>On July 1, 2026, the Group completed the acquisition of selected technology-related assets of Quantistry GmbH ("Quantistry"), a Berlin-based developer of cloud-based, AI-enabled software for chemical and materials simulation.</w:t>
      </w:r>
    </w:p>
    <w:p>
      <w:pPr>
        <w:pStyle w:val="TextBody"/>
        <w:bidi w:val="0"/>
        <w:spacing w:before="120" w:after="283"/>
        <w:jc w:val="both"/>
        <w:rPr>
          <w:rFonts w:ascii="Arial" w:hAnsi="Arial"/>
          <w:color w:val="000000"/>
          <w:sz w:val="20"/>
        </w:rPr>
      </w:pPr>
      <w:r>
        <w:rPr>
          <w:rFonts w:ascii="Arial" w:hAnsi="Arial"/>
          <w:color w:val="000000"/>
          <w:sz w:val="20"/>
        </w:rPr>
        <w:t>The total purchase consideration amounts to EUR 1,900 thousand, of which 30% (EUR 570 thousand) is held in escrow for a period of three months and is subject to adjustment based on the retention of certain employees.</w:t>
      </w:r>
    </w:p>
    <w:p>
      <w:pPr>
        <w:pStyle w:val="TextBody"/>
        <w:bidi w:val="0"/>
        <w:spacing w:before="120" w:after="283"/>
        <w:jc w:val="both"/>
        <w:rPr>
          <w:rFonts w:ascii="Arial" w:hAnsi="Arial"/>
          <w:color w:val="000000"/>
          <w:sz w:val="20"/>
        </w:rPr>
      </w:pPr>
      <w:r>
        <w:rPr>
          <w:rFonts w:ascii="Arial" w:hAnsi="Arial"/>
          <w:color w:val="000000"/>
          <w:sz w:val="20"/>
        </w:rPr>
        <w:t>The acquired set includes inputs and substantive processes that together significantly contribute to the ability to create outputs and therefore meets the definition of a business. Accordingly, the transaction will be accounted for as a business combination using the acquisition method.</w:t>
      </w:r>
    </w:p>
    <w:p>
      <w:pPr>
        <w:pStyle w:val="TextBody"/>
        <w:bidi w:val="0"/>
        <w:spacing w:before="120" w:after="283"/>
        <w:jc w:val="both"/>
        <w:rPr>
          <w:rFonts w:ascii="Arial" w:hAnsi="Arial"/>
          <w:color w:val="000000"/>
          <w:sz w:val="20"/>
        </w:rPr>
      </w:pPr>
      <w:r>
        <w:rPr>
          <w:rFonts w:ascii="Arial" w:hAnsi="Arial"/>
          <w:color w:val="000000"/>
          <w:sz w:val="20"/>
        </w:rPr>
        <w:t>As the acquisition was completed after the reporting date, it has not been reflected in the condensed interim financial statements as at June 30, 2026. 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w:t>
      </w:r>
    </w:p>
    <w:p>
      <w:pPr>
        <w:pStyle w:val="TextBody"/>
        <w:bidi w:val="0"/>
        <w:spacing w:before="120" w:after="283"/>
        <w:jc w:val="both"/>
        <w:rPr>
          <w:rFonts w:ascii="Arial" w:hAnsi="Arial"/>
          <w:color w:val="000000"/>
          <w:sz w:val="20"/>
          <w:u w:val="single"/>
        </w:rPr>
      </w:pPr>
      <w:r>
        <w:rPr>
          <w:rFonts w:ascii="Arial" w:hAnsi="Arial"/>
          <w:color w:val="000000"/>
          <w:sz w:val="20"/>
          <w:u w:val="single"/>
        </w:rPr>
        <w:t>Dual listing:</w:t>
      </w:r>
    </w:p>
    <w:p>
      <w:pPr>
        <w:pStyle w:val="TextBody"/>
        <w:bidi w:val="0"/>
        <w:spacing w:before="120" w:after="283"/>
        <w:jc w:val="both"/>
        <w:rPr>
          <w:rFonts w:ascii="Times New Roman" w:hAnsi="Times New Roman"/>
          <w:sz w:val="20"/>
        </w:rPr>
      </w:pPr>
      <w:r>
        <w:rPr>
          <w:rFonts w:ascii="Arial" w:hAnsi="Arial"/>
          <w:color w:val="000000"/>
          <w:sz w:val="20"/>
        </w:rPr>
        <w:t>On July 1, 2026, the Company completed its business combination with Real Asset Acquisition Corp. ("RAAQ"), a Nasdaq-listed special purpose acquisition company, pursuant to the Business Combination Agreement entered into on February 22, 2026 .As part of the transaction, RAAQ merged with and into IQM US LLC, a group company, with IQM US LLC continuing as the surviving entity.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connection with the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w:t>
      </w:r>
    </w:p>
    <w:p>
      <w:pPr>
        <w:pStyle w:val="TextBody"/>
        <w:bidi w:val="0"/>
        <w:spacing w:before="120" w:after="283"/>
        <w:jc w:val="both"/>
        <w:rPr>
          <w:rFonts w:ascii="Arial" w:hAnsi="Arial"/>
          <w:color w:val="000000"/>
          <w:sz w:val="20"/>
        </w:rPr>
      </w:pPr>
      <w:r>
        <w:rPr>
          <w:rFonts w:ascii="Arial" w:hAnsi="Arial"/>
          <w:color w:val="000000"/>
          <w:sz w:val="20"/>
        </w:rPr>
        <w:t>Concurrently, the Company completed the related PIPE financing, pursuant to which 14,548,000 existing treasury shares were transferred to institutional and other accredited investors at a subscription price of USD 10.00 per share, resulting in aggregate gross proceeds of EUR 127,805 thousand.</w:t>
      </w:r>
    </w:p>
    <w:p>
      <w:pPr>
        <w:pStyle w:val="TextBody"/>
        <w:bidi w:val="0"/>
        <w:spacing w:before="120" w:after="283"/>
        <w:jc w:val="both"/>
        <w:rPr>
          <w:rFonts w:ascii="Arial" w:hAnsi="Arial"/>
          <w:color w:val="000000"/>
          <w:sz w:val="20"/>
        </w:rPr>
      </w:pPr>
      <w:r>
        <w:rPr>
          <w:rFonts w:ascii="Arial" w:hAnsi="Arial"/>
          <w:color w:val="000000"/>
          <w:sz w:val="20"/>
        </w:rPr>
        <w:t>Following completion of the business combination, on July 2, 2026, IQM’s American Depositary Shares commenced trading on the Nasdaq Global Select Market under the ticker symbol “IQMX”.</w:t>
      </w:r>
    </w:p>
    <w:p>
      <w:pPr>
        <w:pStyle w:val="TextBody"/>
        <w:bidi w:val="0"/>
        <w:spacing w:before="120" w:after="283"/>
        <w:jc w:val="both"/>
        <w:rPr>
          <w:rFonts w:ascii="Arial" w:hAnsi="Arial"/>
          <w:color w:val="000000"/>
          <w:sz w:val="20"/>
        </w:rPr>
      </w:pPr>
      <w:bookmarkStart w:id="6" w:name="events_aft_report_date"/>
      <w:bookmarkEnd w:id="6"/>
      <w:r>
        <w:rPr>
          <w:rFonts w:ascii="Arial" w:hAnsi="Arial"/>
          <w:color w:val="000000"/>
          <w:sz w:val="20"/>
        </w:rPr>
        <w:t>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w:t>
      </w:r>
    </w:p>
    <w:p>
      <w:pPr>
        <w:pStyle w:val="TextBody"/>
        <w:bidi w:val="0"/>
        <w:spacing w:before="120" w:after="283"/>
        <w:jc w:val="both"/>
        <w:rPr>
          <w:rFonts w:ascii="Arial" w:hAnsi="Arial"/>
          <w:color w:val="000000"/>
          <w:sz w:val="20"/>
        </w:rPr>
      </w:pPr>
      <w:r>
        <w:rPr>
          <w:rFonts w:ascii="Arial" w:hAnsi="Arial"/>
          <w:color w:val="000000"/>
          <w:sz w:val="20"/>
        </w:rPr>
        <w:t>As the business combination and the dual listing occurred after June 30, 2026, it does not affect the Group's condensed interim financial statements as at that date. Through this transaction, the Company received total gross proceeds of approximately EUR 209,502 thousand.</w:t>
      </w:r>
    </w:p>
    <w:p>
      <w:pPr>
        <w:pStyle w:val="TextBody"/>
        <w:bidi w:val="0"/>
        <w:spacing w:before="120" w:after="283"/>
        <w:jc w:val="both"/>
        <w:rPr>
          <w:rFonts w:ascii="Arial" w:hAnsi="Arial"/>
          <w:color w:val="000000"/>
          <w:sz w:val="20"/>
          <w:u w:val="single"/>
        </w:rPr>
      </w:pPr>
      <w:r>
        <w:rPr>
          <w:rFonts w:ascii="Arial" w:hAnsi="Arial"/>
          <w:color w:val="000000"/>
          <w:sz w:val="20"/>
          <w:u w:val="single"/>
        </w:rPr>
        <w:t>Order intake:</w:t>
      </w:r>
    </w:p>
    <w:p>
      <w:pPr>
        <w:pStyle w:val="TextBody"/>
        <w:bidi w:val="0"/>
        <w:spacing w:before="120" w:after="283"/>
        <w:jc w:val="both"/>
        <w:rPr>
          <w:rFonts w:ascii="Arial" w:hAnsi="Arial"/>
          <w:color w:val="000000"/>
          <w:sz w:val="20"/>
        </w:rPr>
      </w:pPr>
      <w:r>
        <w:rPr>
          <w:rFonts w:ascii="Arial" w:hAnsi="Arial"/>
          <w:color w:val="000000"/>
          <w:sz w:val="20"/>
        </w:rPr>
        <w:t>Subsequent to the reporting date, the Company entered into an additional customer agreement in July 2026 for the development, manufacture and delivery of quantum computing hardware, with a combined contract value of EUR 33,000 thousand.</w:t>
      </w:r>
    </w:p>
    <w:p>
      <w:pPr>
        <w:pStyle w:val="TextBody"/>
        <w:bidi w:val="0"/>
        <w:spacing w:before="120" w:after="283"/>
        <w:jc w:val="both"/>
        <w:rPr>
          <w:rFonts w:ascii="Arial" w:hAnsi="Arial"/>
          <w:color w:val="000000"/>
          <w:sz w:val="20"/>
          <w:u w:val="single"/>
        </w:rPr>
      </w:pPr>
      <w:r>
        <w:rPr>
          <w:rFonts w:ascii="Arial" w:hAnsi="Arial"/>
          <w:color w:val="000000"/>
          <w:sz w:val="20"/>
          <w:u w:val="single"/>
        </w:rPr>
        <w:t>Kreos Loan:</w:t>
      </w:r>
    </w:p>
    <w:p>
      <w:pPr>
        <w:pStyle w:val="TextBody"/>
        <w:bidi w:val="0"/>
        <w:spacing w:before="120" w:after="283"/>
        <w:jc w:val="both"/>
        <w:rPr>
          <w:rFonts w:ascii="Times New Roman" w:hAnsi="Times New Roman"/>
          <w:sz w:val="20"/>
        </w:rPr>
      </w:pPr>
      <w:r>
        <w:rPr>
          <w:rFonts w:ascii="Arial" w:hAnsi="Arial"/>
          <w:color w:val="000000"/>
          <w:sz w:val="20"/>
        </w:rPr>
        <w:t>On July 31, 2026 the Company repaid the principal amount of the Kreos loan plus any accrued and unpaid interest, the applicable prepayment fee, the unpaid End of Loan Payment and all other amounts outstanding under the Loan. The total repayment amount under the early repayment option, including the related prepayment fee amounted to EUR 5,774 thousand. The total amount consists of EUR 4,810 thousand principal repayment, EUR 883 thousand interest and EUR 81 thousand additional fees.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7" w:name="iqmx-ex99_3.htm"/>
      <w:bookmarkStart w:id="8" w:name="ksiqmxex99_3"/>
      <w:bookmarkEnd w:id="7"/>
      <w:bookmarkEnd w:id="8"/>
      <w:r>
        <w:rPr>
          <w:rFonts w:ascii="Arial" w:hAnsi="Arial"/>
          <w:b/>
          <w:color w:val="000000"/>
          <w:sz w:val="24"/>
        </w:rPr>
        <w:t>Exhibit 99.3</w:t>
      </w:r>
      <w:r>
        <w:br w:type="page"/>
      </w:r>
    </w:p>
    <w:p>
      <w:pPr>
        <w:pStyle w:val="TextBody"/>
        <w:bidi w:val="0"/>
        <w:spacing w:before="120" w:after="120"/>
        <w:jc w:val="both"/>
        <w:rPr/>
      </w:pPr>
      <w:r>
        <w:rPr/>
        <w:t> </w:t>
      </w:r>
    </w:p>
    <w:p>
      <w:pPr>
        <w:pStyle w:val="TextBody"/>
        <w:bidi w:val="0"/>
        <w:spacing w:before="0" w:after="120"/>
        <w:jc w:val="both"/>
        <w:rPr>
          <w:rFonts w:ascii="Arial" w:hAnsi="Arial"/>
          <w:b/>
          <w:color w:val="000000"/>
          <w:sz w:val="20"/>
        </w:rPr>
      </w:pPr>
      <w:r>
        <w:rPr>
          <w:rFonts w:ascii="Arial" w:hAnsi="Arial"/>
          <w:b/>
          <w:color w:val="000000"/>
          <w:sz w:val="20"/>
        </w:rPr>
        <w:t>Outlook</w:t>
      </w:r>
    </w:p>
    <w:p>
      <w:pPr>
        <w:pStyle w:val="TextBody"/>
        <w:bidi w:val="0"/>
        <w:spacing w:before="0" w:after="120"/>
        <w:jc w:val="both"/>
        <w:rPr>
          <w:rFonts w:ascii="Arial" w:hAnsi="Arial"/>
          <w:color w:val="000000"/>
          <w:sz w:val="20"/>
        </w:rPr>
      </w:pPr>
      <w:r>
        <w:rPr>
          <w:rFonts w:ascii="Arial" w:hAnsi="Arial"/>
          <w:color w:val="000000"/>
          <w:sz w:val="20"/>
        </w:rPr>
        <w:t>The quantum computing market remains at an early stage, and the pace of commercial adoption will continue to depend on technological progress, customer investment cycles and broader market conditions. However, our installed base, customer pipeline, manufacturing capabilities and technology platform give us confidence in IQM’s long-term position.</w:t>
      </w:r>
    </w:p>
    <w:p>
      <w:pPr>
        <w:pStyle w:val="TextBody"/>
        <w:bidi w:val="0"/>
        <w:spacing w:before="0" w:after="120"/>
        <w:jc w:val="both"/>
        <w:rPr>
          <w:rFonts w:ascii="Arial" w:hAnsi="Arial"/>
          <w:color w:val="000000"/>
          <w:sz w:val="20"/>
        </w:rPr>
      </w:pPr>
      <w:r>
        <w:rPr>
          <w:rFonts w:ascii="Arial" w:hAnsi="Arial"/>
          <w:color w:val="000000"/>
          <w:sz w:val="20"/>
        </w:rPr>
        <w:t>We expect our financial performance to continue to be influenced by the timing of customer contracts, project milestones and system deliveries. As many of our customer projects are large and complex, revenue and order intake may vary significantly between quarters.</w:t>
      </w:r>
    </w:p>
    <w:p>
      <w:pPr>
        <w:pStyle w:val="TextBody"/>
        <w:bidi w:val="0"/>
        <w:spacing w:before="0" w:after="120"/>
        <w:jc w:val="both"/>
        <w:rPr>
          <w:rFonts w:ascii="Arial" w:hAnsi="Arial"/>
          <w:color w:val="000000"/>
          <w:sz w:val="20"/>
        </w:rPr>
      </w:pPr>
      <w:r>
        <w:rPr>
          <w:rFonts w:ascii="Arial" w:hAnsi="Arial"/>
          <w:color w:val="000000"/>
          <w:sz w:val="20"/>
        </w:rPr>
        <w:t>For the rest of 2026, our priorities remain the execution of our existing customer projects, the conversion of our order backlog into revenue, further advancement of our technology roadmap and disciplined investment in our operational and commercial capabilities. Furthermore, we remain focused on new customer acquisition and building out our commercial pipeline.</w:t>
      </w:r>
    </w:p>
    <w:p>
      <w:pPr>
        <w:pStyle w:val="TextBody"/>
        <w:bidi w:val="0"/>
        <w:spacing w:before="0" w:after="120"/>
        <w:jc w:val="both"/>
        <w:rPr>
          <w:rFonts w:ascii="Times New Roman" w:hAnsi="Times New Roman"/>
          <w:sz w:val="20"/>
        </w:rPr>
      </w:pPr>
      <w:r>
        <w:rPr>
          <w:rFonts w:ascii="Arial" w:hAnsi="Arial"/>
          <w:color w:val="000000"/>
          <w:sz w:val="20"/>
        </w:rPr>
        <w:t>For the full year 2026 we are expecting to recognize between EUR 42 million and EUR 47 million in revenue and between EUR 65 million and EUR 75 million in new order intake.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The full year revenue outlook is</w:t>
      </w:r>
      <w:r>
        <w:rPr>
          <w:rFonts w:ascii="Times New Roman" w:hAnsi="Times New Roman"/>
          <w:color w:val="1F1F1F"/>
          <w:sz w:val="20"/>
        </w:rPr>
        <w:t xml:space="preserve"> </w:t>
      </w:r>
      <w:r>
        <w:rPr>
          <w:rFonts w:ascii="Arial" w:hAnsi="Arial"/>
          <w:color w:val="1F1F1F"/>
          <w:sz w:val="20"/>
        </w:rPr>
        <w:t>tied directly to the scheduled delivery and customer acceptance milestones of our first</w:t>
      </w:r>
      <w:r>
        <w:rPr>
          <w:rFonts w:ascii="Times New Roman" w:hAnsi="Times New Roman"/>
          <w:color w:val="1F1F1F"/>
          <w:sz w:val="20"/>
        </w:rPr>
        <w:t xml:space="preserve"> </w:t>
      </w:r>
      <w:r>
        <w:rPr>
          <w:rFonts w:ascii="Arial" w:hAnsi="Arial"/>
          <w:color w:val="1F1F1F"/>
          <w:sz w:val="20"/>
        </w:rPr>
        <w:t>150-qubit system and execution against our order backlog.</w:t>
      </w:r>
      <w:r>
        <w:rPr>
          <w:rFonts w:ascii="Times New Roman" w:hAnsi="Times New Roman"/>
          <w:color w:val="1F1F1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22494</Words>
  <Characters>120582</Characters>
  <CharactersWithSpaces>143500</CharactersWithSpaces>
  <Paragraphs>6510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