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7718d6k.htm"/>
      <w:bookmarkStart w:id="1" w:name="ksd177718d6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October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001-43383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IQM Quantum Computers Oyj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Keilaranta 19</w:t>
      </w:r>
    </w:p>
    <w:p>
      <w:pPr>
        <w:pStyle w:val="TextBody"/>
        <w:bidi w:val="0"/>
        <w:spacing w:before="0" w:after="0"/>
        <w:jc w:val="center"/>
        <w:rPr>
          <w:rFonts w:ascii="Times New Roman" w:hAnsi="Times New Roman"/>
          <w:b/>
          <w:sz w:val="20"/>
        </w:rPr>
      </w:pPr>
      <w:r>
        <w:rPr>
          <w:rFonts w:ascii="Times New Roman" w:hAnsi="Times New Roman"/>
          <w:b/>
          <w:sz w:val="20"/>
        </w:rPr>
        <w:t>FI-02150 Espoo</w:t>
      </w:r>
    </w:p>
    <w:p>
      <w:pPr>
        <w:pStyle w:val="TextBody"/>
        <w:bidi w:val="0"/>
        <w:spacing w:before="0" w:after="0"/>
        <w:jc w:val="center"/>
        <w:rPr>
          <w:rFonts w:ascii="Times New Roman" w:hAnsi="Times New Roman"/>
          <w:b/>
          <w:sz w:val="20"/>
        </w:rPr>
      </w:pPr>
      <w:r>
        <w:rPr>
          <w:rFonts w:ascii="Times New Roman" w:hAnsi="Times New Roman"/>
          <w:b/>
          <w:sz w:val="20"/>
        </w:rPr>
        <w:t>Finland</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pPr>
      <w:r>
        <w:rPr/>
        <w:t>☒ </w:t>
      </w:r>
      <w:r>
        <w:rPr>
          <w:rFonts w:ascii="Times New Roman" w:hAnsi="Times New Roman"/>
          <w:sz w:val="20"/>
        </w:rPr>
        <w:t xml:space="preserve">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CONTAINED IN THIS REPORT ON FORM 6-K </w:t>
      </w:r>
    </w:p>
    <w:p>
      <w:pPr>
        <w:pStyle w:val="TextBody"/>
        <w:bidi w:val="0"/>
        <w:spacing w:before="240" w:after="0"/>
        <w:jc w:val="left"/>
        <w:rPr>
          <w:rFonts w:ascii="Times New Roman" w:hAnsi="Times New Roman"/>
          <w:sz w:val="20"/>
        </w:rPr>
      </w:pPr>
      <w:r>
        <w:rPr>
          <w:rFonts w:ascii="Times New Roman" w:hAnsi="Times New Roman"/>
          <w:sz w:val="20"/>
        </w:rPr>
        <w:t xml:space="preserve">On October 5, 2026, IQM Quantum Computers Oyj (the “Company”) issued, via stock exchange release (the “Release”) made with Nasdaq Helsinki Ltd. (“Nasdaq Helsinki”), notification and public disclosure that the Company will publish its interim report for January-September 2026 on Thursday, November 5, 2026. The Release is attached hereto as Exhibit 99.1.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5"/>
        <w:gridCol w:w="437"/>
        <w:gridCol w:w="8983"/>
      </w:tblGrid>
      <w:tr>
        <w:trPr/>
        <w:tc>
          <w:tcPr>
            <w:tcW w:w="785"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8983"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No.</w:t>
            </w:r>
          </w:p>
        </w:tc>
        <w:tc>
          <w:tcPr>
            <w:tcW w:w="437" w:type="dxa"/>
            <w:tcBorders/>
            <w:vAlign w:val="bottom"/>
          </w:tcPr>
          <w:p>
            <w:pPr>
              <w:pStyle w:val="TableContents"/>
              <w:bidi w:val="0"/>
              <w:spacing w:before="0" w:after="283"/>
              <w:jc w:val="left"/>
              <w:rPr/>
            </w:pPr>
            <w:r>
              <w:rPr/>
              <w:t>  </w:t>
            </w:r>
          </w:p>
        </w:tc>
        <w:tc>
          <w:tcPr>
            <w:tcW w:w="898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tcPr>
          <w:p>
            <w:pPr>
              <w:pStyle w:val="TableContents"/>
              <w:bidi w:val="0"/>
              <w:spacing w:before="0" w:after="283"/>
              <w:jc w:val="left"/>
              <w:rPr/>
            </w:pPr>
            <w:r>
              <w:rPr/>
              <w:t>99.1</w:t>
            </w:r>
          </w:p>
        </w:tc>
        <w:tc>
          <w:tcPr>
            <w:tcW w:w="437" w:type="dxa"/>
            <w:tcBorders/>
            <w:vAlign w:val="bottom"/>
          </w:tcPr>
          <w:p>
            <w:pPr>
              <w:pStyle w:val="TableContents"/>
              <w:bidi w:val="0"/>
              <w:spacing w:before="0" w:after="283"/>
              <w:jc w:val="left"/>
              <w:rPr/>
            </w:pPr>
            <w:r>
              <w:rPr/>
              <w:t>  </w:t>
            </w:r>
          </w:p>
        </w:tc>
        <w:tc>
          <w:tcPr>
            <w:tcW w:w="8983" w:type="dxa"/>
            <w:tcBorders/>
          </w:tcPr>
          <w:p>
            <w:pPr>
              <w:pStyle w:val="TableContents"/>
              <w:bidi w:val="0"/>
              <w:spacing w:before="0" w:after="283"/>
              <w:jc w:val="left"/>
              <w:rPr/>
            </w:pPr>
            <w:hyperlink w:anchor="d177718dex991.htm">
              <w:r>
                <w:rPr>
                  <w:rStyle w:val="InternetLink"/>
                </w:rPr>
                <w:t xml:space="preserve">Stock Exchange Release, dated October 5, 2026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82"/>
        <w:gridCol w:w="110"/>
        <w:gridCol w:w="392"/>
        <w:gridCol w:w="110"/>
        <w:gridCol w:w="372"/>
        <w:gridCol w:w="110"/>
        <w:gridCol w:w="4629"/>
      </w:tblGrid>
      <w:tr>
        <w:trPr/>
        <w:tc>
          <w:tcPr>
            <w:tcW w:w="4482"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629" w:type="dxa"/>
            <w:tcBorders/>
            <w:vAlign w:val="center"/>
          </w:tcPr>
          <w:p>
            <w:pPr>
              <w:pStyle w:val="TableContents"/>
              <w:bidi w:val="0"/>
              <w:spacing w:before="0" w:after="283"/>
              <w:jc w:val="left"/>
              <w:rPr>
                <w:sz w:val="4"/>
                <w:szCs w:val="4"/>
              </w:rPr>
            </w:pPr>
            <w:r>
              <w:rPr>
                <w:sz w:val="4"/>
                <w:szCs w:val="4"/>
              </w:rPr>
            </w:r>
          </w:p>
        </w:tc>
      </w:tr>
      <w:tr>
        <w:trPr/>
        <w:tc>
          <w:tcPr>
            <w:tcW w:w="4482"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111" w:type="dxa"/>
            <w:gridSpan w:val="3"/>
            <w:tcBorders/>
            <w:vAlign w:val="bottom"/>
          </w:tcPr>
          <w:p>
            <w:pPr>
              <w:pStyle w:val="TableContents"/>
              <w:bidi w:val="0"/>
              <w:spacing w:before="0" w:after="283"/>
              <w:jc w:val="left"/>
              <w:rPr>
                <w:b/>
              </w:rPr>
            </w:pPr>
            <w:r>
              <w:rPr>
                <w:b/>
              </w:rPr>
              <w:t>IQM QUANTUM COMPUTERS OYJ</w:t>
            </w:r>
          </w:p>
        </w:tc>
      </w:tr>
      <w:tr>
        <w:trPr>
          <w:trHeight w:val="240" w:hRule="atLeast"/>
        </w:trPr>
        <w:tc>
          <w:tcPr>
            <w:tcW w:w="4482"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482" w:type="dxa"/>
            <w:gridSpan w:val="2"/>
            <w:tcBorders/>
            <w:vAlign w:val="center"/>
          </w:tcPr>
          <w:p>
            <w:pPr>
              <w:pStyle w:val="TableContents"/>
              <w:bidi w:val="0"/>
              <w:spacing w:before="0" w:after="283"/>
              <w:jc w:val="left"/>
              <w:rPr>
                <w:sz w:val="4"/>
                <w:szCs w:val="4"/>
              </w:rPr>
            </w:pPr>
            <w:r>
              <w:rPr>
                <w:sz w:val="4"/>
                <w:szCs w:val="4"/>
              </w:rPr>
            </w:r>
          </w:p>
        </w:tc>
        <w:tc>
          <w:tcPr>
            <w:tcW w:w="4739" w:type="dxa"/>
            <w:gridSpan w:val="2"/>
            <w:tcBorders/>
            <w:vAlign w:val="center"/>
          </w:tcPr>
          <w:p>
            <w:pPr>
              <w:pStyle w:val="TableContents"/>
              <w:bidi w:val="0"/>
              <w:spacing w:before="0" w:after="283"/>
              <w:jc w:val="left"/>
              <w:rPr>
                <w:sz w:val="4"/>
                <w:szCs w:val="4"/>
              </w:rPr>
            </w:pPr>
            <w:r>
              <w:rPr>
                <w:sz w:val="4"/>
                <w:szCs w:val="4"/>
              </w:rPr>
            </w:r>
          </w:p>
        </w:tc>
      </w:tr>
      <w:tr>
        <w:trPr/>
        <w:tc>
          <w:tcPr>
            <w:tcW w:w="4482" w:type="dxa"/>
            <w:tcBorders/>
            <w:vAlign w:val="bottom"/>
          </w:tcPr>
          <w:p>
            <w:pPr>
              <w:pStyle w:val="TableContents"/>
              <w:bidi w:val="0"/>
              <w:spacing w:before="0" w:after="283"/>
              <w:jc w:val="left"/>
              <w:rPr/>
            </w:pPr>
            <w:r>
              <w:rPr/>
              <w:t>Date: October 5, 2026</w:t>
            </w:r>
          </w:p>
        </w:tc>
        <w:tc>
          <w:tcPr>
            <w:tcW w:w="11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By:</w:t>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4629" w:type="dxa"/>
            <w:tcBorders>
              <w:bottom w:val="single" w:sz="2" w:space="0" w:color="000000"/>
            </w:tcBorders>
            <w:tcMar>
              <w:bottom w:w="28" w:type="dxa"/>
            </w:tcMar>
            <w:vAlign w:val="bottom"/>
          </w:tcPr>
          <w:p>
            <w:pPr>
              <w:pStyle w:val="TableContents"/>
              <w:bidi w:val="0"/>
              <w:spacing w:before="0" w:after="283"/>
              <w:jc w:val="left"/>
              <w:rPr/>
            </w:pPr>
            <w:r>
              <w:rPr/>
              <w:t>/s/ Jan Goetz</w:t>
            </w:r>
          </w:p>
        </w:tc>
      </w:tr>
      <w:tr>
        <w:trPr/>
        <w:tc>
          <w:tcPr>
            <w:tcW w:w="4482"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6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 Jan Goetz</w:t>
            </w:r>
          </w:p>
        </w:tc>
      </w:tr>
      <w:tr>
        <w:trPr/>
        <w:tc>
          <w:tcPr>
            <w:tcW w:w="4482"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6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 Chief Executive Officer</w:t>
            </w:r>
          </w:p>
        </w:tc>
      </w:tr>
    </w:tbl>
    <w:p>
      <w:pPr>
        <w:pStyle w:val="TextBody"/>
        <w:bidi w:val="0"/>
        <w:spacing w:before="0" w:after="0"/>
        <w:jc w:val="right"/>
        <w:rPr>
          <w:rFonts w:ascii="Times New Roman" w:hAnsi="Times New Roman"/>
          <w:b/>
          <w:sz w:val="20"/>
        </w:rPr>
      </w:pPr>
      <w:bookmarkStart w:id="2" w:name="d177718dex991.htm"/>
      <w:bookmarkStart w:id="3" w:name="ksd177718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2"/>
        <w:gridCol w:w="5000"/>
      </w:tblGrid>
      <w:tr>
        <w:trPr/>
        <w:tc>
          <w:tcPr>
            <w:tcW w:w="510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0" w:type="dxa"/>
            <w:tcBorders/>
            <w:vAlign w:val="center"/>
          </w:tcPr>
          <w:p>
            <w:pPr>
              <w:pStyle w:val="TableContents"/>
              <w:bidi w:val="0"/>
              <w:spacing w:before="0" w:after="283"/>
              <w:jc w:val="left"/>
              <w:rPr>
                <w:sz w:val="4"/>
                <w:szCs w:val="4"/>
              </w:rPr>
            </w:pPr>
            <w:r>
              <w:rPr>
                <w:sz w:val="4"/>
                <w:szCs w:val="4"/>
              </w:rPr>
            </w:r>
          </w:p>
        </w:tc>
      </w:tr>
      <w:tr>
        <w:trPr/>
        <w:tc>
          <w:tcPr>
            <w:tcW w:w="5103" w:type="dxa"/>
            <w:tcBorders/>
            <w:vAlign w:val="bottom"/>
          </w:tcPr>
          <w:p>
            <w:pPr>
              <w:pStyle w:val="TableContents"/>
              <w:bidi w:val="0"/>
              <w:spacing w:before="0" w:after="283"/>
              <w:jc w:val="left"/>
              <w:rPr/>
            </w:pPr>
            <w:r>
              <w:rPr/>
              <w:drawing>
                <wp:inline distT="0" distB="0" distL="0" distR="0">
                  <wp:extent cx="763270" cy="2711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3270" cy="271145"/>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5000" w:type="dxa"/>
            <w:tcBorders/>
            <w:vAlign w:val="bottom"/>
          </w:tcPr>
          <w:p>
            <w:pPr>
              <w:pStyle w:val="TableContents"/>
              <w:bidi w:val="0"/>
              <w:spacing w:before="0" w:after="283"/>
              <w:jc w:val="right"/>
              <w:rPr/>
            </w:pPr>
            <w:r>
              <w:rPr/>
              <w:t>www.iqm.tech   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IQM Quantum Computers will change the release date of the interim report for January-September 2026 </w:t>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Plc, Stock Exchange Release, October 5, 2026 at 11:50 (EEST) </w:t>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will publish its interim report for January-September 2026 on Thursday, November 5, 2026. Previously, IQM Quantum Computers has stated that it will publish the release on Tuesday, November 3, 2026. </w:t>
      </w:r>
    </w:p>
    <w:p>
      <w:pPr>
        <w:pStyle w:val="TextBody"/>
        <w:bidi w:val="0"/>
        <w:spacing w:before="360" w:after="0"/>
        <w:jc w:val="left"/>
        <w:rPr>
          <w:rFonts w:ascii="Times New Roman" w:hAnsi="Times New Roman"/>
          <w:b/>
          <w:sz w:val="20"/>
        </w:rPr>
      </w:pPr>
      <w:r>
        <w:rPr>
          <w:rFonts w:ascii="Times New Roman" w:hAnsi="Times New Roman"/>
          <w:b/>
          <w:sz w:val="20"/>
        </w:rPr>
        <w:t xml:space="preserve">For further information,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Henrik Klobut,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Investors@iqm.tech </w:t>
      </w:r>
    </w:p>
    <w:p>
      <w:pPr>
        <w:pStyle w:val="TextBody"/>
        <w:bidi w:val="0"/>
        <w:spacing w:before="360" w:after="0"/>
        <w:jc w:val="left"/>
        <w:rPr>
          <w:rFonts w:ascii="Times New Roman" w:hAnsi="Times New Roman"/>
          <w:b/>
          <w:sz w:val="20"/>
        </w:rPr>
      </w:pPr>
      <w:r>
        <w:rPr>
          <w:rFonts w:ascii="Times New Roman" w:hAnsi="Times New Roman"/>
          <w:b/>
          <w:sz w:val="20"/>
        </w:rPr>
        <w:t xml:space="preserve">About IQM Quantum Computers </w:t>
      </w:r>
    </w:p>
    <w:p>
      <w:pPr>
        <w:pStyle w:val="TextBody"/>
        <w:bidi w:val="0"/>
        <w:spacing w:before="120" w:after="0"/>
        <w:jc w:val="left"/>
        <w:rPr>
          <w:rFonts w:ascii="Times New Roman" w:hAnsi="Times New Roman"/>
          <w:sz w:val="20"/>
        </w:rPr>
      </w:pPr>
      <w:r>
        <w:rPr>
          <w:rFonts w:ascii="Times New Roman" w:hAnsi="Times New Roman"/>
          <w:sz w:val="20"/>
        </w:rPr>
        <w:t xml:space="preserve">IQM Quantum Computers (Nasdaq: IQMX) is a global leader in superconducting quantum computers, delivering full-stack quantum systems and cloud platform access to enterprises, research institutions, universities, high-performance computing centers, and national laboratories worldwide. IQM’s on-premises deployment model gives customers direct ownership and control of their quantum infrastructure. Founded in 2018 and headquartered in Finland, with major operations in Munich, IQM employs over 400 people and operates across Europe, Asia, and North America. IQM is the first publicly listed European quantum company on the Nasdaq Stock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372</Words>
  <Characters>2161</Characters>
  <CharactersWithSpaces>2566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