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6013d424b3.htm"/>
        <w:bookmarkStart w:id="1" w:name="ksd36013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333-297940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PROSPECTUS</w:t>
      </w:r>
      <w:r>
        <w:rPr>
          <w:rFonts w:ascii="Times New Roman" w:hAnsi="Times New Roman"/>
          <w:sz w:val="20"/>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IQM QUANTUM COMPUTERS OYJ </w:t>
      </w:r>
    </w:p>
    <w:p>
      <w:pPr>
        <w:pStyle w:val="TextBody"/>
        <w:bidi w:val="0"/>
        <w:spacing w:before="0" w:after="0"/>
        <w:jc w:val="left"/>
        <w:rPr/>
      </w:pPr>
      <w:r>
        <w:rPr/>
        <w:t> </w:t>
      </w:r>
    </w:p>
    <w:p>
      <w:pPr>
        <w:pStyle w:val="TextBody"/>
        <w:bidi w:val="0"/>
        <w:spacing w:before="0" w:after="0"/>
        <w:jc w:val="center"/>
        <w:rPr/>
      </w:pPr>
      <w:r>
        <w:rPr/>
        <w:drawing>
          <wp:inline distT="0" distB="0" distL="0" distR="0">
            <wp:extent cx="2704465" cy="9829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04465" cy="9829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Up to 8,624,989 Ordinary Shares Issuable Upon the Exercise of Public Warrants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Up to 4,298,339 Ordinary Shares Represented by American Depositary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Up to 3,905,981 Private Placement Warrants </w:t>
      </w:r>
    </w:p>
    <w:p>
      <w:pPr>
        <w:pStyle w:val="TextBody"/>
        <w:bidi w:val="0"/>
        <w:spacing w:before="0" w:after="0"/>
        <w:jc w:val="center"/>
        <w:rPr>
          <w:rFonts w:ascii="Times New Roman" w:hAnsi="Times New Roman"/>
          <w:b/>
          <w:sz w:val="20"/>
        </w:rPr>
      </w:pPr>
      <w:r>
        <w:rPr>
          <w:rFonts w:ascii="Times New Roman" w:hAnsi="Times New Roman"/>
          <w:b/>
          <w:sz w:val="20"/>
        </w:rPr>
        <w:t xml:space="preserve">Up to 3,905,981 Ordinary Shares Issuable Upon the Exercise of Private Placement Warrants </w:t>
      </w:r>
    </w:p>
    <w:p>
      <w:pPr>
        <w:pStyle w:val="TextBody"/>
        <w:bidi w:val="0"/>
        <w:spacing w:before="0" w:after="0"/>
        <w:jc w:val="center"/>
        <w:rPr>
          <w:rFonts w:ascii="Times New Roman" w:hAnsi="Times New Roman"/>
          <w:b/>
          <w:sz w:val="20"/>
        </w:rPr>
      </w:pPr>
      <w:r>
        <w:rPr>
          <w:rFonts w:ascii="Times New Roman" w:hAnsi="Times New Roman"/>
          <w:b/>
          <w:sz w:val="20"/>
        </w:rPr>
        <w:t xml:space="preserve">Up to 4,306,845 Ordinary Shares Represented by American Depositary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Offered by the Selling Securityholders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issuance by us of 8,624,989 ordinary shares, with no nominal value (each, an “IQM Share”), represented by American depositary shares (each, an “IQM ADS” and, collectively, the “IQM ADSs”), each IQM ADS representing one IQM Share, issuable upon the exercise of warrants. Such warrants are referred to in this prospectus as the “Public Warrants,” and such IQM Shares represented by IQM ADSs issuable upon the exercise of Public Warrants are referred to in this prospectus as the “Public Warrant Shares.” The Public Warrants were initially issued by Real Asset Acquisition Corp., a Cayman Islands exempted company (“RAAQ”), in connection with its initial public offering, which RAAQ consummated on April 30, 2025 (the “RAAQ IPO”). Simultaneously with the closing of the RAAQ IPO, RAAQ completed a private placement of warrants (the “Private Placement Warrants” and together with the Public Warrants, the “IQM Warrants”). Each IQM Warrant entitled the holder to purchase one RAAQ Class A Ordinary Share at a price of $11.50 per share. On July 1, 2026, pursuant to the Business Combination Agreement (the “Business Combination Agreement”), dated February 22, 2026, by and among IQM Finland Oy, a limited liability company (Fi. osakeyhtiö) incorporated under the laws of Finland (subsequently renamed IQM Quantum Computers Oyj) (“IQM,” “our,” “us” or the “Company”), RAAQ, IQM US LLC, a Delaware limited liability company and indirect wholly owned subsidiary of IQM (“Merger Sub”), and ECLIPSE QC S.à r.l., a Luxembourg private limited liability company and direct wholly owned subsidiary of IQM, RAAQ merged with and into the Merger Sub, with Merger Sub surviving the merger as an indirect wholly-owned subsidiary of IQM (the “Business Combination”). In connection with the Business Combination, the IQM Warrants outstanding immediately prior to the effective time of the Business Combination were assumed by IQM and became a warrant to purchase one IQM ADS representing one IQM Share at an exercise price of $11.50 per share. We will receive the proceeds from any exercise of the IQM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relates to the resale from time to time by the selling securityholders named in this prospectus or their permitted transferees (the “Selling Securityholders”) of (i) up to 4,298,339 IQM Shares represented by IQM ADSs that were issued to certain PIPE Investors (as defined below) in the PIPE Financing (as defined below), (ii) up to 3,905,981 Private Placement Warrants, (iii) up to 3,905,981 IQM Shares, including IQM Shares represented by ADSs, issuable upon the exercise of Private Placement Warrants, and (iv) up to 4,306,845 IQM Shares represented by IQM ADSs (the “RAAQ Resale Shares”) initially issued by RAAQ to RAAQ Sponsor LLC, a Delaware limited liability company (the “Sponsor”), and certain RAAQ Insiders (as defined herein). The RAAQ Resale Shares were initially issued by RAAQ in the form of its Class B Ordinary Shares in a private placement that occurred prior to the closing of the RAAQ IPO. In connection with the Business Combination, each RAAQ Class B Ordinary Share held by the Sponsor and the RAAQ Insiders was exchanged for the right to receive one IQM ADS representing one IQM Share. In addition, concurrently with the execution and delivery of the Business Combination Agreement, and as supplemented by an additional commitment in June 2026, IQM entered into subscription agreements (each, a “PIPE Subscription Agreement” and collectively, the “PIPE Subscription Agreements”) with institutional and other accredited investors,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certain RAAQ Insiders (the “PIPE Investors”), pursuant to which the PIPE Investors purchased, substantially concurrently with the closing of the Business Combination, an aggregate of approximately 14.5 million IQM Shares (collectively, the “PIPE Shares”), 4,298,339 of which are represented by IQM ADSs (the “PIPE ADSs”), for a purchase price of $10.00 per PIPE Share in a private placement, for an aggregate amount of approximately $145.5 million (such transaction, the “PIPE Financing”). Each of the Sponsor and the RAAQ Insiders who are a Selling Securityholder is deemed to be an “underwriter” within the meaning of Section 2(a)(11)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offer, sell or distribute all or a portion of the securities hereby registered publicly or through private transactions at prevailing market prices or at negotiated prices. We will not receive any of the proceeds from the sale of the IQM Shares, including IQM Shares represented by IQM ADSs, by the Selling Securityholders. We will receive the proceeds from any exercise of the IQM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the IQM Shares represented by IQM ADSs. See the section titled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under U.S. federal securities laws and, as such, have elected to comply with reduced public company reporting requirements. This prospectus complies with the requirements that apply to an issuer that is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Our IQM ADSs are listed on The Nasdaq Global Select Market under the symbol “IQMX” and our IQM Shares are listed on Nasdaq Helsinki Ltd. (“Nasdaq Helsinki”) under the symbol “IQMX.” The Public Warrants are listed on The Nasdaq Global Select Market under the symbol “IQMXW.” On August 25, 2026, the last reported sales price of the IQM ADSs was $10.70 and the last reported sales price of the Public Warrants was $2.645 per warrant. </w:t>
      </w:r>
    </w:p>
    <w:p>
      <w:pPr>
        <w:pStyle w:val="TextBody"/>
        <w:bidi w:val="0"/>
        <w:spacing w:before="240" w:after="0"/>
        <w:jc w:val="left"/>
        <w:rPr>
          <w:rFonts w:ascii="Times New Roman" w:hAnsi="Times New Roman"/>
          <w:b/>
          <w:sz w:val="20"/>
        </w:rPr>
      </w:pPr>
      <w:r>
        <w:rPr>
          <w:rFonts w:ascii="Times New Roman" w:hAnsi="Times New Roman"/>
          <w:b/>
          <w:sz w:val="20"/>
        </w:rPr>
        <w:t xml:space="preserve">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Nasdaq corporate governance rules. As a result, our shareholders may not have the same protections afforded to shareholders of companies that are subject to all Nasdaq corporate governance requirements. </w:t>
      </w:r>
    </w:p>
    <w:p>
      <w:pPr>
        <w:pStyle w:val="TextBody"/>
        <w:bidi w:val="0"/>
        <w:spacing w:before="240" w:after="0"/>
        <w:jc w:val="left"/>
        <w:rPr/>
      </w:pPr>
      <w:r>
        <w:rPr>
          <w:rFonts w:ascii="Times New Roman" w:hAnsi="Times New Roman"/>
          <w:sz w:val="20"/>
        </w:rPr>
        <w:t>Investing in our securities involves a high degree of risk. You should review carefully the risks and uncertainties described under the heading “</w:t>
      </w:r>
      <w:hyperlink w:anchor="tx36013_10">
        <w:r>
          <w:rPr>
            <w:rStyle w:val="InternetLink"/>
            <w:rFonts w:ascii="Times New Roman" w:hAnsi="Times New Roman"/>
            <w:sz w:val="20"/>
          </w:rPr>
          <w:t>Risk Factors</w:t>
        </w:r>
      </w:hyperlink>
      <w:r>
        <w:rPr>
          <w:rFonts w:ascii="Times New Roman" w:hAnsi="Times New Roman"/>
          <w:sz w:val="20"/>
        </w:rPr>
        <w:t xml:space="preserve">” beginning on page 8 of this prospectus, and under similar headings in any amendments or supplements 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Securities and Exchange Commission, any state securities commission or the securities commission or regulatory authority of any Canadian province or territory has approved or disapproved of these securities, or determined if this prospectus is accurate or adequate. Any representation to the contrary is a criminal offense.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August 26,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
              <w:r>
                <w:rPr>
                  <w:rStyle w:val="InternetLink"/>
                  <w:rFonts w:ascii="Times New Roman" w:hAnsi="Times New Roman"/>
                  <w:sz w:val="20"/>
                </w:rPr>
                <w:t>ABOUT THIS PROSPECTUS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
              <w:r>
                <w:rPr>
                  <w:rStyle w:val="InternetLink"/>
                  <w:rFonts w:ascii="Times New Roman" w:hAnsi="Times New Roman"/>
                  <w:sz w:val="20"/>
                </w:rPr>
                <w:t>ABOUT IQM</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
              <w:r>
                <w:rPr>
                  <w:rStyle w:val="InternetLink"/>
                  <w:rFonts w:ascii="Times New Roman" w:hAnsi="Times New Roman"/>
                  <w:sz w:val="20"/>
                </w:rPr>
                <w:t>TRADEMARKS, TRADE NAMES AND SERVICE MARKS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4">
              <w:r>
                <w:rPr>
                  <w:rStyle w:val="InternetLink"/>
                  <w:rFonts w:ascii="Times New Roman" w:hAnsi="Times New Roman"/>
                  <w:sz w:val="20"/>
                </w:rPr>
                <w:t>PRESENTATION OF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5">
              <w:r>
                <w:rPr>
                  <w:rStyle w:val="InternetLink"/>
                  <w:rFonts w:ascii="Times New Roman" w:hAnsi="Times New Roman"/>
                  <w:sz w:val="20"/>
                </w:rPr>
                <w:t>EXCHANGE RATES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6">
              <w:r>
                <w:rPr>
                  <w:rStyle w:val="InternetLink"/>
                  <w:rFonts w:ascii="Times New Roman" w:hAnsi="Times New Roman"/>
                  <w:sz w:val="20"/>
                </w:rPr>
                <w:t>CERTAIN DEFINED TERMS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v</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7">
              <w:r>
                <w:rPr>
                  <w:rStyle w:val="InternetLink"/>
                  <w:rFonts w:ascii="Times New Roman" w:hAnsi="Times New Roman"/>
                  <w:sz w:val="20"/>
                </w:rPr>
                <w:t>CAUTIONARY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vii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8">
              <w:r>
                <w:rPr>
                  <w:rStyle w:val="InternetLink"/>
                  <w:rFonts w:ascii="Times New Roman" w:hAnsi="Times New Roman"/>
                  <w:sz w:val="20"/>
                </w:rPr>
                <w:t>SUMMARY OF PROSPECTUS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9">
              <w:r>
                <w:rPr>
                  <w:rStyle w:val="InternetLink"/>
                  <w:rFonts w:ascii="Times New Roman" w:hAnsi="Times New Roman"/>
                  <w:sz w:val="20"/>
                </w:rPr>
                <w:t>THE OFFERING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0">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1">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2">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3">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4">
              <w:r>
                <w:rPr>
                  <w:rStyle w:val="InternetLink"/>
                  <w:rFonts w:ascii="Times New Roman" w:hAnsi="Times New Roman"/>
                  <w:sz w:val="20"/>
                </w:rPr>
                <w:t>UNAUDITED PRO FORMA CONDENSED COMBINED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5">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6">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7">
              <w:r>
                <w:rPr>
                  <w:rStyle w:val="InternetLink"/>
                  <w:rFonts w:ascii="Times New Roman" w:hAnsi="Times New Roman"/>
                  <w:sz w:val="20"/>
                </w:rPr>
                <w:t>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8">
              <w:r>
                <w:rPr>
                  <w:rStyle w:val="InternetLink"/>
                  <w:rFonts w:ascii="Times New Roman" w:hAnsi="Times New Roman"/>
                  <w:sz w:val="20"/>
                </w:rPr>
                <w:t>DESCRIPTION OF SHARE CAPITAL AND ARTICLES OF ASSOCIATION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9">
              <w:r>
                <w:rPr>
                  <w:rStyle w:val="InternetLink"/>
                  <w:rFonts w:ascii="Times New Roman" w:hAnsi="Times New Roman"/>
                  <w:sz w:val="20"/>
                </w:rPr>
                <w:t>DESCRIPTION OF AMERICAN DEPOSITARY SHARES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0">
              <w:r>
                <w:rPr>
                  <w:rStyle w:val="InternetLink"/>
                  <w:rFonts w:ascii="Times New Roman" w:hAnsi="Times New Roman"/>
                  <w:sz w:val="20"/>
                </w:rPr>
                <w:t>BENEFICIAL OWNERSHIP OF SECURITIES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1">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2">
              <w:r>
                <w:rPr>
                  <w:rStyle w:val="InternetLink"/>
                  <w:rFonts w:ascii="Times New Roman" w:hAnsi="Times New Roman"/>
                  <w:sz w:val="20"/>
                </w:rPr>
                <w:t>SELLING SECURITYHOLDERS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3">
              <w:r>
                <w:rPr>
                  <w:rStyle w:val="InternetLink"/>
                  <w:rFonts w:ascii="Times New Roman" w:hAnsi="Times New Roman"/>
                  <w:sz w:val="20"/>
                </w:rPr>
                <w:t>CERTAIN RELATIONSHIPS AND RELATED PARTY TRANSACTIONS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4">
              <w:r>
                <w:rPr>
                  <w:rStyle w:val="InternetLink"/>
                  <w:rFonts w:ascii="Times New Roman" w:hAnsi="Times New Roman"/>
                  <w:sz w:val="20"/>
                </w:rPr>
                <w:t>MATERIAL TAX CONSIDERATIONS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5">
              <w:r>
                <w:rPr>
                  <w:rStyle w:val="InternetLink"/>
                  <w:rFonts w:ascii="Times New Roman" w:hAnsi="Times New Roman"/>
                  <w:sz w:val="20"/>
                </w:rPr>
                <w:t>PLAN OF DISTRIBUTION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6">
              <w:r>
                <w:rPr>
                  <w:rStyle w:val="InternetLink"/>
                  <w:rFonts w:ascii="Times New Roman" w:hAnsi="Times New Roman"/>
                  <w:sz w:val="20"/>
                </w:rPr>
                <w:t>EXPENSES RELATED TO THE OFFERING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7">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8">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9">
              <w:r>
                <w:rPr>
                  <w:rStyle w:val="InternetLink"/>
                  <w:rFonts w:ascii="Times New Roman" w:hAnsi="Times New Roman"/>
                  <w:sz w:val="20"/>
                </w:rPr>
                <w:t>ENFORCEABILITY OF CIVIL LIABILITIES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0">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164</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1">
              <w:r>
                <w:rPr>
                  <w:rStyle w:val="InternetLink"/>
                  <w:rFonts w:ascii="Times New Roman" w:hAnsi="Times New Roman"/>
                  <w:sz w:val="20"/>
                </w:rPr>
                <w:t>INDEX TO FINANCIAL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 one has been authorized to provide you with information that is different from that contained in this prospectus or any free writing prospectus filed by us. This prospectus is dated as of the date set forth on the cover hereof. You should not assume that the information contained in this prospectus is accurate as of any date other than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3601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any amendment or supplement to this prospectus or any free writing prospectus prepared by us or on our behalf. Any amendment or supplement may also add, update or change information included in this prospectus. Any statement contained in this prospectus will be deemed to be modified or superseded for purposes of this prospectus to the extent that a statement contained in such amendment or supplement modifies or supersedes such statement. Any statement so modified will be deemed to constitute a part of this prospectus only as so modified, and any statement so superseded will be deemed not to constitute a part of this prospectus.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and you may obtain copies of those documents as described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Certain amounts that appear in this Registration Statement may not sum due to rounding. </w:t>
      </w:r>
    </w:p>
    <w:p>
      <w:pPr>
        <w:pStyle w:val="TextBody"/>
        <w:bidi w:val="0"/>
        <w:spacing w:before="480" w:after="0"/>
        <w:jc w:val="center"/>
        <w:rPr>
          <w:rFonts w:ascii="Times New Roman" w:hAnsi="Times New Roman"/>
          <w:b/>
          <w:sz w:val="20"/>
        </w:rPr>
      </w:pPr>
      <w:bookmarkStart w:id="4" w:name="tx36013_2"/>
      <w:bookmarkEnd w:id="4"/>
      <w:r>
        <w:rPr>
          <w:rFonts w:ascii="Times New Roman" w:hAnsi="Times New Roman"/>
          <w:b/>
          <w:sz w:val="20"/>
        </w:rPr>
        <w:t xml:space="preserve">ABOUT IQM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references to the “Company,” “IQM,” “we,” “us” or “our” refer to IQM Quantum Computers Oyj (formerly IQM Finland Oy) following the completion of the Business Combination. Discussions in this prospectus regarding the business of IQM prior to the Closing refer to the business carried on by IQM Finland Oy. </w:t>
      </w:r>
    </w:p>
    <w:p>
      <w:pPr>
        <w:pStyle w:val="TextBody"/>
        <w:bidi w:val="0"/>
        <w:spacing w:before="480" w:after="0"/>
        <w:jc w:val="center"/>
        <w:rPr>
          <w:rFonts w:ascii="Times New Roman" w:hAnsi="Times New Roman"/>
          <w:b/>
          <w:sz w:val="20"/>
        </w:rPr>
      </w:pPr>
      <w:bookmarkStart w:id="5" w:name="tx36013_3"/>
      <w:bookmarkEnd w:id="5"/>
      <w:r>
        <w:rPr>
          <w:rFonts w:ascii="Times New Roman" w:hAnsi="Times New Roman"/>
          <w:b/>
          <w:sz w:val="20"/>
        </w:rPr>
        <w:t xml:space="preserve">TRADEMARKS, TRADE NAMES AND SERVICE MARKS </w:t>
      </w:r>
    </w:p>
    <w:p>
      <w:pPr>
        <w:pStyle w:val="TextBody"/>
        <w:bidi w:val="0"/>
        <w:spacing w:before="240" w:after="0"/>
        <w:jc w:val="left"/>
        <w:rPr>
          <w:rFonts w:ascii="Times New Roman" w:hAnsi="Times New Roman"/>
          <w:sz w:val="20"/>
        </w:rPr>
      </w:pPr>
      <w:r>
        <w:rPr>
          <w:rFonts w:ascii="Times New Roman" w:hAnsi="Times New Roman"/>
          <w:sz w:val="20"/>
        </w:rPr>
        <w:t>IQM owns or has proprietary rights to trademarks used in this prospectus that are important to its business, many of which are registered under applicable intellectual property laws.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Times New Roman" w:hAnsi="Times New Roman"/>
          <w:i/>
          <w:sz w:val="20"/>
        </w:rPr>
        <w:t>®</w:t>
      </w:r>
      <w:r>
        <w:rPr>
          <w:rFonts w:ascii="Times New Roman" w:hAnsi="Times New Roman"/>
          <w:sz w:val="20"/>
        </w:rPr>
        <w:t xml:space="preserve">,  or SM symbols, but such references are not intended to indicate, in any way, that IQM or the applicable owner or licensor will not assert, to the fullest extent permitted under applicable law, its rights or the right to these trademarks, trade names and service marks. IQM does not intend its use or display of other parties’ trademarks, trade names or service marks to imply, and such use or display should not be construed to imply, a relationship with, or endorsement or sponsorship of IQM by, any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36013_4"/>
      <w:bookmarkEnd w:id="6"/>
      <w:r>
        <w:rPr>
          <w:rFonts w:ascii="Times New Roman" w:hAnsi="Times New Roman"/>
          <w:b/>
          <w:sz w:val="20"/>
        </w:rPr>
        <w:t xml:space="preserve">PRESENTATION OF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financial statements of Real Asset Acquisition Corp. as of December 31, 2025 and 2024, and for the year ended December 31, 2025, and for the period from December 9, 2024 (inception) through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consolidated financial statements of IQM Finland Oy (now IQM Quantum Computers Oyj) as of December 31, 2025, 2024, and for each of the two years in the period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interim condensed consolidated financial statements of IQM Finland Oy (now IQM Quantum Computers Oyj) as of June 30, 2026 and December 31, 2025, and for the three and six month periods ended June 30, 2026 and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indicated otherwise, financial data presented in this prospectus has been taken from the audited consolidated financial statements of IQM and RAAQ, as applicable, included in this prospectus. In this prospectus, unless otherwise specified, all monetary amounts are in U.S. dollars, all references to “$,” “US$,” “USD” and “dollars” mean U.S. dollars and all references to “” and “EUR” mean euros.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36013_5"/>
      <w:bookmarkEnd w:id="7"/>
      <w:r>
        <w:rPr>
          <w:rFonts w:ascii="Times New Roman" w:hAnsi="Times New Roman"/>
          <w:b/>
          <w:sz w:val="20"/>
        </w:rPr>
        <w:t xml:space="preserve">EXCHANGE RATES </w:t>
      </w:r>
    </w:p>
    <w:p>
      <w:pPr>
        <w:pStyle w:val="TextBody"/>
        <w:bidi w:val="0"/>
        <w:spacing w:before="240" w:after="0"/>
        <w:jc w:val="left"/>
        <w:rPr>
          <w:rFonts w:ascii="Times New Roman" w:hAnsi="Times New Roman"/>
          <w:sz w:val="20"/>
        </w:rPr>
      </w:pPr>
      <w:r>
        <w:rPr>
          <w:rFonts w:ascii="Times New Roman" w:hAnsi="Times New Roman"/>
          <w:sz w:val="20"/>
        </w:rPr>
        <w:t xml:space="preserve">Our reporting currency is euros. The following table sets forth, for the periods indicated, the high, low, average and period-end daily rates of exchange for one U.S. dollar, expressed in euros, sourced from the European Central Bank. These rates are provided solely for convenience and are not necessarily the exchange rates used in the preparation of our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7"/>
        <w:gridCol w:w="131"/>
        <w:gridCol w:w="60"/>
        <w:gridCol w:w="687"/>
        <w:gridCol w:w="60"/>
        <w:gridCol w:w="131"/>
        <w:gridCol w:w="60"/>
        <w:gridCol w:w="687"/>
        <w:gridCol w:w="60"/>
        <w:gridCol w:w="131"/>
        <w:gridCol w:w="60"/>
        <w:gridCol w:w="687"/>
        <w:gridCol w:w="64"/>
      </w:tblGrid>
      <w:tr>
        <w:trPr/>
        <w:tc>
          <w:tcPr>
            <w:tcW w:w="7387"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38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62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12 Months Ended</w:t>
              <w:br/>
              <w:t>December 31,</w:t>
            </w:r>
          </w:p>
        </w:tc>
        <w:tc>
          <w:tcPr>
            <w:tcW w:w="64" w:type="dxa"/>
            <w:tcBorders/>
            <w:vAlign w:val="bottom"/>
          </w:tcPr>
          <w:p>
            <w:pPr>
              <w:pStyle w:val="TableContents"/>
              <w:bidi w:val="0"/>
              <w:spacing w:before="0" w:after="283"/>
              <w:jc w:val="left"/>
              <w:rPr/>
            </w:pPr>
            <w:r>
              <w:rPr/>
              <w:t> </w:t>
            </w:r>
          </w:p>
        </w:tc>
      </w:tr>
      <w:tr>
        <w:trPr/>
        <w:tc>
          <w:tcPr>
            <w:tcW w:w="738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7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Highest rate during the period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0.9806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0.9626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0.9552</w:t>
            </w:r>
          </w:p>
        </w:tc>
        <w:tc>
          <w:tcPr>
            <w:tcW w:w="64" w:type="dxa"/>
            <w:tcBorders/>
            <w:shd w:fill="CCEEFF" w:val="clear"/>
            <w:vAlign w:val="bottom"/>
          </w:tcPr>
          <w:p>
            <w:pPr>
              <w:pStyle w:val="TableContents"/>
              <w:bidi w:val="0"/>
              <w:spacing w:before="0" w:after="283"/>
              <w:jc w:val="left"/>
              <w:rPr/>
            </w:pPr>
            <w:r>
              <w:rPr/>
              <w:t> </w:t>
            </w:r>
          </w:p>
        </w:tc>
      </w:tr>
      <w:tr>
        <w:trPr/>
        <w:tc>
          <w:tcPr>
            <w:tcW w:w="7387" w:type="dxa"/>
            <w:tcBorders/>
          </w:tcPr>
          <w:p>
            <w:pPr>
              <w:pStyle w:val="TableContents"/>
              <w:bidi w:val="0"/>
              <w:spacing w:before="0" w:after="0"/>
              <w:jc w:val="left"/>
              <w:rPr>
                <w:rFonts w:ascii="Times New Roman" w:hAnsi="Times New Roman"/>
                <w:sz w:val="20"/>
              </w:rPr>
            </w:pPr>
            <w:r>
              <w:rPr>
                <w:rFonts w:ascii="Times New Roman" w:hAnsi="Times New Roman"/>
                <w:sz w:val="20"/>
              </w:rPr>
              <w:t>Lowest rate during the period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0.8448</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0.8932</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0.8885</w:t>
            </w:r>
          </w:p>
        </w:tc>
        <w:tc>
          <w:tcPr>
            <w:tcW w:w="64" w:type="dxa"/>
            <w:tcBorders/>
            <w:vAlign w:val="bottom"/>
          </w:tcPr>
          <w:p>
            <w:pPr>
              <w:pStyle w:val="TableContents"/>
              <w:bidi w:val="0"/>
              <w:spacing w:before="0" w:after="283"/>
              <w:jc w:val="left"/>
              <w:rPr/>
            </w:pPr>
            <w:r>
              <w:rPr/>
              <w:t> </w:t>
            </w:r>
          </w:p>
        </w:tc>
      </w:tr>
      <w:tr>
        <w:trPr/>
        <w:tc>
          <w:tcPr>
            <w:tcW w:w="7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rate for the period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0.8850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0.9239</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0.9248</w:t>
            </w:r>
          </w:p>
        </w:tc>
        <w:tc>
          <w:tcPr>
            <w:tcW w:w="64" w:type="dxa"/>
            <w:tcBorders/>
            <w:shd w:fill="CCEEFF" w:val="clear"/>
            <w:vAlign w:val="bottom"/>
          </w:tcPr>
          <w:p>
            <w:pPr>
              <w:pStyle w:val="TableContents"/>
              <w:bidi w:val="0"/>
              <w:spacing w:before="0" w:after="283"/>
              <w:jc w:val="left"/>
              <w:rPr/>
            </w:pPr>
            <w:r>
              <w:rPr/>
              <w:t> </w:t>
            </w:r>
          </w:p>
        </w:tc>
      </w:tr>
      <w:tr>
        <w:trPr/>
        <w:tc>
          <w:tcPr>
            <w:tcW w:w="7387" w:type="dxa"/>
            <w:tcBorders/>
          </w:tcPr>
          <w:p>
            <w:pPr>
              <w:pStyle w:val="TableContents"/>
              <w:bidi w:val="0"/>
              <w:spacing w:before="0" w:after="0"/>
              <w:jc w:val="left"/>
              <w:rPr>
                <w:rFonts w:ascii="Times New Roman" w:hAnsi="Times New Roman"/>
                <w:sz w:val="20"/>
              </w:rPr>
            </w:pPr>
            <w:r>
              <w:rPr>
                <w:rFonts w:ascii="Times New Roman" w:hAnsi="Times New Roman"/>
                <w:sz w:val="20"/>
              </w:rPr>
              <w:t>Rate at the end of the period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0.8511</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0.9626</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0.9050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36013_6"/>
      <w:bookmarkEnd w:id="8"/>
      <w:r>
        <w:rPr>
          <w:rFonts w:ascii="Times New Roman" w:hAnsi="Times New Roman"/>
          <w:b/>
          <w:sz w:val="20"/>
        </w:rPr>
        <w:t xml:space="preserve">CERTAIN DEFINED TERMS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references in this prospectus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Amended IQM Articles” means the articles of association of IQM as in effect upon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Business Combination” means, collectively, (i) the IQM Capital Restructuring and (ii) the Merger of RAAQ with and into Merger Sub, with Merger Sub surviving as an indirect wholly owned subsidiary of IQM, and (iii) the other transactions contemplated by the Business Combination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Business Combination Agreement” means the Business Combination Agreement, dated as of February 22, 2026, by and between, among others, RAAQ and IQM, as amended, supplemented or otherwise modified from time to time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means the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Closing Date” means July 1, 2026, the date the Closing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IQM ADSs” means the American Depositary Shares, each representing one IQM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IQM Shares” means the ordinary shares of IQM, with no nominal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IQM Warrants” means each warrant to purchase one IQM Share represented by one IQM ADS, at an exercise price of $11.50 per share, resulting from the assumption by IQM of a RAAQ Warrant outstanding immediately prior to the Merger Effective Time pursuant to the terms of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means the Nasdaq Stock Market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Private Placement Warrants” means the IQM Warrants held by Cohen &amp; Company Capital Markets, Clear Street LLC, each an underwriter in the RAAQ IPO, the Sponsor and certain other holders, each of which were assumed by IQM in connection with the Business Combination and are each exercisable for $11.50 per IQM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means Real Asset Acquisition Corp., an exempted company incorporated under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Class A Ordinary Shares” means the Class A ordinary shares of RAAQ,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Class B Ordinary Shares” means the Class B ordinary shares of RAAQ,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Insiders” means the Sponsor and the directors, officers and advisors of RAAQ, collectively.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Public Shareholder” means a holder of RAAQ Public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Public Shares” means RAAQ Class A Ordinary Shares sold in the RAAQ IPO (whether they were purchased in the RAAQ IPO as part of the RAAQ Units, or thereafter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Public Warrants” or “RAAQ Public Warrants” means the RAAQ Warrants included in the RAAQ Units sold in the RAAQ IPO (whether they were purchased in the RAAQ IPO as part of the RAAQ Units or thereafter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Units” means the units sold in the RAAQ IPO (including pursuant to the overallotment option), each consisting of one RAAQ Class A Ordinary Share and one-half of one RAAQ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Warrant” means a redeemable warrant exercisable for a RAAQ Class A Ordinary Share, which includes the Private Placement Warrants and the RAAQ Public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means the U.S.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Share Split” means the subdivision of each class A share of IQM outstanding into a number of IQM Shares, with no nominal value, equal to the Share Split Factor, with any fractional entitlement rounded down to the nearest whole IQM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Share Split Factor” means 96.44.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Sponsor” means RAAQ Sponsor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Trust Account” means the trust account of RAAQ, which holds the remaining net proceeds from the IPO and the sale of the Private Placement Warrants, together with interest earned thereon, less permitted withdrawals.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36013_7"/>
      <w:bookmarkEnd w:id="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statements that express IQM’s opinions, expectations, beliefs, plans, objectives, assumptions or projections regarding future events or future results of operations or financial condition and therefore are, or may be deemed to be, “forward-looking statements.” These forward-looking statements include all matters that are not historical facts and can generally be identified by the use of forward-looking terminology, including the terms “believes,” “estimates,” “anticipates,” “expects,” “seeks,” “projects,” “intends,” “plans,” “is/are likely to,” “potential,” “may,” “will” or “should” or, in each case, their negative or other variations or comparable terminology. They appear in a number of places throughout this prospectus and include statements regarding IQM’s intentions, beliefs or current expectations concerning, among other things, IQM’s results of operations, financial condition, liquidity, prospects, growth, strategies, future market conditions or economic performance and developments in the capital and credit markets and expected future financial performance, the markets in which IQM operates.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a number of risks, uncertainties and assumptions, and actual results or events may differ materially from those projected or implied in those statements. Important factors that could cause such differences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mission, goals and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future business development,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changes in IQM’s revenues, costs 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expectations regarding demand for and market acceptance of IQM’s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expectations regarding its relationships with customers and third-party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in IQM’s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future capital requirements and sources and uses of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ability to obtain funding for its operations and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relevant government policies and regulations relating to IQM’s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estimates of the market opportunity for its products and forecasts of market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business conditions globally and in jurisdictions where IQM operates;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assumptions underlying or related to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IQM cautions you against placing undue reliance on forward-looking statements, which reflect current expectations and beliefs and are based on information currently available as of the date a forward-looking statement is made. Forward-looking statements set forth herein speak only as of the date of this prospectus. IQM will not undertake any obligation to update or revise any forward-looking statements, whether as a result of new information, future events or otherwise, except as may be required under applicable securities laws. In the event that any forward-looking statement is updated, no inference should be made that IQM will make additional updates with respect to that statement, related matters, or any other forward-looking statements. For a further discussion of the risks and other factors that could cause our future results, performance or transactions to differ significantly from those expressed in any forward-looking statements, please see the section titled “Risk Factors” in this prospectus and our filings with the U.S. Securities and Exchange Commission (www.sec.gov) and the Finnish Financial Supervisory Authority (the “FIN-FSA”). There may be additional risks that we do not presently know or that we currently believe are immaterial, that could also cause actual results to differ from those contained in the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0" w:name="tx36013_8"/>
      <w:bookmarkEnd w:id="10"/>
      <w:r>
        <w:rPr>
          <w:rFonts w:ascii="Times New Roman" w:hAnsi="Times New Roman"/>
          <w:b/>
          <w:sz w:val="20"/>
          <w:bdr w:val="single" w:sz="8" w:space="1" w:color="000000"/>
        </w:rPr>
        <w:t xml:space="preserve">SUMMARY OF PROSPECTUS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prospectus and does not contain all of the information that is important to you. This summary is qualified in its entirety by the more detailed information included in this prospectus. Before making your investment decision with respect to the IQM securities offered hereby, you should read carefully this entire prospectus. Please see the section titled “Where You Can Find More Information” elsewhere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Amazon Web Services’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operates as a single operating and reportable segment. This determination is based on how the chief operating decision maker, our Chief Executive Officer, reviews financial information for purposes of making operating decisions, assessing financial performance and allocating resources.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Background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 2026 (the “Closing Date”), we consummated the previously announced Business Combination pursuant to the Business Combination Agreement, dated as of February 22, 2026, among us, RAAQ, Merger Sub, and ECLIPSE QC S.à r.l. Pursuant to the Business Combination Agreement, (i) we effectuated certain internal capital restructuring steps (the “IQM Capital Restructuring”), including the Share Split, immediately prior to the effective time of the Merger (as defined below) (the “Merger Effective Time”), and (ii) RAAQ merged with and into Merger Sub, with Merger Sub surviving as an indirect wholly owned subsidiary of IQM. In connection with the Business Combination, we issued approximately 14.5 million IQM Shares (including in the form of IQM ADSs) to the PIPE Investors for aggregate gross proceeds of approximately $145.5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Merger Effective Time, each issued and outstanding RAAQ Class A Ordinary Share was cancelled and exchanged for the right to receive one IQM ADS, with each IQM ADS representing one IQM Share.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RAAQ Warrant was assumed by us and became an IQM Warrant to purchase one IQM Share (represented by one IQM ADS) at an exercise price of $11.50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IQM ADSs are listed on Nasdaq under the symbol “IQMX” and on Nasdaq Helsinki under the symbol “IQMX.” The IQM Warrants are listed on Nasdaq under the symbol “IQMXW.”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pursuant to the laws of Finland in 2018. We are registered in the Finnish Trade Register under business identity code 2912625-6.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diagram illustrates our corporate structure, including subsidiaries as of the date of this prospectus: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53100" cy="41573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53100" cy="415734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on Keilaranta 19, FI-02150 Espoo, Finland and our telephone number at this address is (+358) 505 696 439. Our telephone number in the United States is (650) 798-5469. Our corporate website address is </w:t>
      </w:r>
      <w:r>
        <w:rPr>
          <w:rFonts w:ascii="Times New Roman" w:hAnsi="Times New Roman"/>
          <w:i/>
          <w:sz w:val="20"/>
          <w:bdr w:val="single" w:sz="8" w:space="1" w:color="000000"/>
        </w:rPr>
        <w:t>https://IQM.tech/</w:t>
      </w:r>
      <w:r>
        <w:rPr>
          <w:rFonts w:ascii="Times New Roman" w:hAnsi="Times New Roman"/>
          <w:sz w:val="20"/>
          <w:bdr w:val="single" w:sz="8" w:space="1" w:color="000000"/>
        </w:rPr>
        <w:t xml:space="preserve">. Our website and the information contained on or accessed through the website is not deemed to be incorporated by reference in, and is not considered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as modified by the Jumpstart Our Business Startups Act of 2012 (the “JOBS Act”) and it may take advantage of certain exemptions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its periodic reports and proxy statements, and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report under the Exchange Act as a non-U.S. company with foreign private issuer status.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of Section 16 of the Exchange Act. Effective March 18, 2026, directors and officers (excluding principal shareholders) of foreign private issuers became subject to Section 16(a) of the Exchange Act, requiring reporting of equity ownership and transactions of our securities on Forms 3, 4 and 5, which eliminated the prior blanket exemption for such persons. However, pursuant to an order issued on March 5, 2026 by the SEC, directors and officers of certain foreign private issuers, including those subject to substantially comparable home jurisdiction reporting requirements, are exempt from Section 16(a) reporting. We qualify for this exemption, and therefore our directors and officers are not required to comply with Section 16(a) reporting obligations.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 We determine our status as a foreign private issuer annually, as of the last business day of our second fiscal quarter.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our early stages and have a limited operating history, which makes it difficult to forecast our future prospects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operating losses and expect to incur significant expenses and continuing losses for the foreseeable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scale our business quickly enough to meet customer and market demand, which could adversely affect our financial condition and results of operations or cause us to fail to execute on our business strategies.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additional capital to pursue our business objectives and respond to business opportunities, challenges or unforeseen circumstances as they arise, and we cannot be sure that additional financing will be available on acceptable terms,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experience difficulties manufacturing or installing our quantum computing systems.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quantum computing industry is competitive on a global scale and we may not be successful in competing in this industry or establishing and maintaining confidence in our long-term business prospects among current and future partners and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produced quantum computers with high qubit counts or at volume and we face significant barriers in our attempts to produce quantum computers at high volume, including the need to scale, fragment and standardize existing or invent and develop new technology.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computers fail to achieve quantum advantage, our business, financial condition and future prospects may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reduce the cost of developing our quantum computers, which may prevent us from pricing our quantum systems competitively.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growth are dependent on the success of our strategic relationships with third parties.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revenue currently depends on contracts with the public sector, and our failure to receive and maintain government contracts or changes in the contracting or fiscal policies of the public sector could have a material adverse effect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 failures, interruptions, delays in service, catastrophic events, inadequate infrastructure and resulting interruptions in the availability or functionality of our products and services could harm our reputation or subject us to significant liability, and adversely affect our business, financial condition and operating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global macroeconomic and political conditions could materially adversely affect our business prospects, financial condition, results of operations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our success depends, in part, on our ability to expand sales internationally, our business will be susceptible to risks associated with international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exposed to risks associated with litigation, investigations and regulatory proceedings.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obtain, maintain and protect our intellectual property rights could impair our ability to protect and commercialize our proprietary products and technology and cause us to lose our competitive advantage.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were to qualify as a passive foreign investment company, it could result in adverse U.S. tax consequences to certain U.S. holders of IQM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IQM ADSs or IQM Warrants may be volatile, which could cause the value of your investment to decline.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permitted, and we expect, to follow certain home country corporate governance instead of otherwise applicable Nasdaq requirements, and we will not be subject to certain U.S. securities laws including, but not limited to, U.S. proxy rules and the filing of certain Exchange Act reports.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Purchasers of IQM ADSs are not holders of our IQM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shareholders in companies subject to Finnish corporate law differ in material respects from the rights of shareholders of corporations incorporated in the United States.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have difficulty enforcing civil liabilities against our company and directors and senior management and the experts named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1" w:name="tx36013_9"/>
      <w:bookmarkEnd w:id="11"/>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presented in greater detail elsewhere in this prospectus. This summary is not complete and does not contain all the information you should consider before investing in our securities. You should carefully read this entire prospectus before investing in our securities, including the sections titled “Risk Factors” and “Cautionary Note Regarding Forward-Looking Statements” in this prospectus, our consolidated financial statements and notes to those consolidated financial statements and other financial information presented herein.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b/>
              </w:rPr>
            </w:pPr>
            <w:r>
              <w:rPr>
                <w:b/>
              </w:rPr>
              <w:t>Issuance of Ordinary Shares</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offered by us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8,624,989 IQM Shares, including IQM Shares represented by IQM ADSs, issuable upon the exercise of Public Warrants.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outstanding prior to the exercise of all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189,496,218 (as of August 3, 2026).</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outstanding assuming exercise of all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198,121,207 (based on the total IQM Shares outstanding as of August 3, 2026).</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Exercise price of the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$11.50 per IQM Share.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Use of proceeds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We will receive up to an aggregate of approximately $99.2 million from the exercise of the Public Warrants. We expect to use the net proceeds from the exercise of the Public Warrants for general corporate purposes. We believe the likelihood that warrantholders will exercise their Public Warrants, and therefore the amount of cash proceeds that we would receive, is dependent upon the trading price of IQM ADSs and IQM Shares. If the trading price is less than $11.50 per IQM Share, we believe holders of the Public Warrants will be unlikely to exercise such warrants. See “Use of Proceeds.”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Resale of IQM Shares and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offered by the Selling Securityholders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We are registering the resale by the Selling Securityholders named in this prospectus, or their permitted transferees, an aggregate of 12,511,165 IQM Shares, including IQM Shares represented by IQM ADSs, consisting of:</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up to 4,298,339 IQM Shares underlying the PIPE ADSs;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up to 3,905,981 IQM Shares, including IQM Shares represented by IQM ADSs, issuable upon the exercise of Private Placement Warrants; and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up to 4,306,845 RAAQ Resale Shares, including IQM Shares represented by IQM ADSs.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Warrants offered by the Selling Securityholders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3,905,981 Private Placement Warrants.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Offering prices for resales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Selling Securityholders will determine when and how they will dispose of the IQM Shares, including IQM Shares represented by IQM ADSs and Private Placement Warrants, the resale of which is being registered pursuant to the registration statement of which this prospectus forms a part.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Use of proceeds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We will not receive any proceeds from the sale of IQM Shares, including IQM Shares represented by IQM ADSs by the Selling Securityholders. We will receive proceeds only to the extent that the Private Placement Warrants are exercised for cash. See the section titled “Use of Proceeds.”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Lock-up restrictions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Certain of our securityholders are subject to transfer restrictions until the termination of applicable lock-up periods. See the section titled “Shares Eligible For Future Sale — Lock-Up Agreements and Market Standoff Agreements.”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Risk factors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Before investing in our securities, you should carefully read and consider the information set forth in the section titled “Risk Factors” in this prospectus.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Nasdaq / Nasdaq Helsinki ticker symbol</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IQM ADSs are listed on Nasdaq under the symbol “IQMX” and on Nasdaq Helsinki under the symbol “IQMX.” The IQM Warrants are listed on Nasdaq under the symbol “IQMXW.”</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the section titled “Plan of Distribution” beginning on page 161.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36013_10"/>
      <w:bookmarkEnd w:id="12"/>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review and consider the following risk factors and the other information contained in this prospectus, including the financial statements and notes to the financial statements included herein before making a decision to invest in our securities. The occurrence of one or more of the events or circumstances described in these risk factors, alone or in combination with other events or circumstances, may have a material adverse effect on our business, cash flows, financial condition and results of operations. This could cause the trading price of the IQM ADSs to decline, perhaps significantly, and you therefore may lose all or part of your investment. You should carefully consider the following risk factors in conjunction with the other information included in this prospectus, including matters addressed in the sections titled “Cautionary Note Regarding Forward-Looking Statements,” “Management’s Discussion and Analysis of Financial Condition and Results of Operations,” and the financial statements and notes to the financial statements included herein. The risks discussed below are not exhaustive and are based on certain assumptions made by us which later may prove to be incorrect or incomplete. Investors are encouraged to perform their own investigation with respect to our business, financial condition and prospects. We may face additional risks and uncertainties that are not presently known to us, or that are currently deemed immaterial, which may also impair our business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Financial Condition and Status as an Early-Stage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in our early stages and have a limited operating history, which makes it difficult to forecast our future prospects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upon our registration with the Finnish Trade Register in May 2018. As a result of our limited operating history, our ability to accurately forecast the future results of operations is limited and subject to a number of uncertainties, including our ability to plan for and model future growth and revenues. Our ability to generate revenues will largely be dependent on our ability to develop and produce quantum computers with increasing numbers of quantum bits (“qubits”) and with increasing levels of performance. We have not yet established a scalable business model, and there is a risk that our technology roadmap may be delayed or may not be achieved as anticipated, if at all. The development of our scalable business model will likely require the incurrence of a substantially higher level of costs than incurred to date, while our revenues will not substantially increase unless and until we produce more powerful, scalable, higher performing computers, which requires a number of technological advancements that may not occur on our currently anticipated timetable or at all. As a result, our historical results should not be considered indicative of our future performance. Further, in future periods, our growth could slow or decline for a number of reasons, including, but not limited to, slowing demand for sales of our on-premise quantum computers, increased competition, technological challenges in the development of our superconducting modality, limitations in manufacturing capacity, inability to scale up or improve performance of our technology, a decrease in the growth of the market, or our failure, for any reason, to continue to take advantage of growth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operating losses and expect to incur significant expenses and continuing losses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incurred net losses of 74.9 million and 34.6 million for the six months ended June 30, 2026 and 2025, respectively. As of June 30, 2026, we had an accumulated deficit of 307.1 million. We expect to continue to incur operating and net losses annually until we generate significant revenue from sales of our quantum computers. Even if our systems achieve narrow or broad quantum advantage, we may never achieve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incur significantly higher losses in future periods as we, among other things, continue to incur significant expenses in connection with the design, development and manufacturing of our quantum computers; expand our research and development activities; invest in manufacturing capabilities; invest in infrastructure to deploy the technology through the cloud; build up inventories of components for our quantum computers; increase our sales and marketing activities; further develop our infrastructure to account for geographical, political and regulatory considerations; and increase our general and administrative functions to support our growing operations and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These initiatives may prove more costly than we currently anticipate or may fail to generate revenue, which would further increase our losses. If we are unable to achieve and/or sustain profitability, or if we fail to recognize the expected growth from our investments, our business, financial condition or results of operations could be materially adversely affected. Our business model is unproven and may never enable us to cover our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scale our business quickly enough to meet customer and market demand, which could adversely affect our financial condition and results of operations or cause us to fail to execute on our business strategies.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grow our business, we will need to continually evolve and scale our business and operations to meet customer and market demand. Quantum computing technology has never been sold at large-scale commercial levels. The evolution and scaling of our business and operations place increased demands on our management and our financial and operational resources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new customers and grow our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additional products and services to our existing customers, maintain and increase the rates at which existing customers adopt our technology, thereby extending our product roadmap;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 in our product offerings and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manage organizational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and/or refocus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manufacturing and supply chain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broaden customer support and services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or increase operational efficiencies;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appropriate operational and financial systems;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and maintain effective financial disclosure controls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Large-scale commercial traction of quantum computing technology may never occur. There are significant technological challenges associated with developing, producing, marketing and selling products and services in the advanced technology industry, such as our products and services, and we may not be able to resolve all of the difficulties that could arise in a timely or cost-effective manner, or at all. We may not be able to cost effectively manage production at a scale or quality consistent with customer demand in a timely or economic manner.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scale is dependent also upon components we must source from multiple industries including from the electronics and semi-conductor industries with low-noise microwave components, CPUs, GPUs, FPGAs; from the cryogenic industry with dilution refrigerators and associated helium gas products; and from the semiconductor industry with silicon wafers and other specialty materials, tooling and measurement equipment. Shortages or supply interruptions in any of these components would have an adverse impact on our ability to deliver our products, which would impact our revenues.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large-scale development of our quantum computers commences, our computers may contain defects in design and manufacture that may cause our products to not perform as expected or may require repair and design changes to be up to scale. Our quantum computers are inherently complex and incorporate technology and components that have not been used for other applications and that may contain defects and errors, particularly when the systems are first introduced. We have a limited frame of reference from which to evaluate the long-term performance of our computers and anticipate growth. There can be no assurance that we will be able to detect and fix any defects in our quantum computers in a timely manner that does not disrupt our sales of products and services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If we cannot evolve and scale our business and operations effectively, we may not be able to execute our business strategies in a cost-effective manner and our business, financial condition, profitability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require additional capital to pursue our business objectives and respond to business opportunities, challenges or unforeseen circumstances as they arise, and we cannot be sure that additional financing will be available on acceptable terms, if at all.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future plans for expansion are capital-intensive, and the specific timing of cash inflows and outflows may fluctuate substantially from period to period. We will require a significant amount of cash for expenditures as we invest in expanding our research and development activities, manufacturing capabilities and business operations. Our operating plan may change because of known and unknown factors, and we may also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shareholders, issuance of securities with priority as to liquidation and dividend and other rights more favorable than the IQM Shares underlying the IQM ADSs,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including those caused by disruptions to and volatility in the credit and financial markets in the United States and Europe, current and future military conflicts and wars and related sanctions and tariffs and trade protection measures. There can be no assurance that deterioration in credit and financial markets and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international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quantum computing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obtain sufficient capital, we may be unable to fund our operations and may be required to evaluate strategic alternatives, which could result in a complete or partial loss of your investment in our securities. There can be no assurance that financing will be available to us on favorable terms, or at all.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 in which we compete achieves its anticipated growth levels, our business could fail to grow at similar rates, if at all. </w:t>
      </w:r>
    </w:p>
    <w:p>
      <w:pPr>
        <w:pStyle w:val="TextBody"/>
        <w:bidi w:val="0"/>
        <w:spacing w:before="120" w:after="0"/>
        <w:jc w:val="left"/>
        <w:rPr>
          <w:rFonts w:ascii="Times New Roman" w:hAnsi="Times New Roman"/>
          <w:sz w:val="20"/>
        </w:rPr>
      </w:pPr>
      <w:r>
        <w:rPr>
          <w:rFonts w:ascii="Times New Roman" w:hAnsi="Times New Roman"/>
          <w:sz w:val="20"/>
        </w:rPr>
        <w:t xml:space="preserve">Market opportunity estimates and growth forecasts, including those we have generated, are subject to significant uncertainty and are based on assumptions and estimates that may not prove to be accurate. We have relied on market reports data published by third-party research and consulting firms to estimate the size of our market opportunity and growth forecasts, which may not prove to be accurate and which we have not independently verified. The variables that go into the calculation of our market opportunity are subject to change over time, and there is no guarantee that any particular number or percentage of companies covered by our market opportunity estimates will purchase our products at all or generate any particular level of revenue for us. In addition, alternatives to quantum computing may present themselves, which could substantially reduce the market for quantum computing services. Any expansion in our market depends on a number of factors, including the cost, performance, and perceived value associated with quantum computing solutions. </w:t>
      </w:r>
    </w:p>
    <w:p>
      <w:pPr>
        <w:pStyle w:val="TextBody"/>
        <w:bidi w:val="0"/>
        <w:spacing w:before="240" w:after="0"/>
        <w:jc w:val="left"/>
        <w:rPr>
          <w:rFonts w:ascii="Times New Roman" w:hAnsi="Times New Roman"/>
          <w:sz w:val="20"/>
        </w:rPr>
      </w:pPr>
      <w:r>
        <w:rPr>
          <w:rFonts w:ascii="Times New Roman" w:hAnsi="Times New Roman"/>
          <w:sz w:val="20"/>
        </w:rPr>
        <w:t xml:space="preserve">Even if the market in which we compete meets the size estimates and growth forecasted, our business could fail to grow at similar rates, if at all. Our growth is subject to many factors, including our ability to successfully scale our commercial operations and sell quantum computers, which are subject to many risks and uncertainties. Unforeseen issues associated with scaling up and constructing quantum computing technology at commercially viable levels could have a negative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 unforeseen issues with the reliability of our technology, we could overburden our servicing and support capabilities. Similarly, increasing the number of our products and services would require us to rapidly increase the availability of our support and service capabilities. Failure to adequately support and service our customers may inhibit our growth and ability to expand.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could experience difficulties manufacturing or installing our quantum computing systems. </w:t>
      </w:r>
    </w:p>
    <w:p>
      <w:pPr>
        <w:pStyle w:val="TextBody"/>
        <w:bidi w:val="0"/>
        <w:spacing w:before="120" w:after="0"/>
        <w:jc w:val="left"/>
        <w:rPr>
          <w:rFonts w:ascii="Times New Roman" w:hAnsi="Times New Roman"/>
          <w:sz w:val="20"/>
        </w:rPr>
      </w:pPr>
      <w:r>
        <w:rPr>
          <w:rFonts w:ascii="Times New Roman" w:hAnsi="Times New Roman"/>
          <w:sz w:val="20"/>
        </w:rPr>
        <w:t xml:space="preserve">Our business depends on our ability to manufacture and install quantum computing systems on our customers’ premises. Our ability to deliver our quantum computing systems may be impacted by a variety of factors, including failed introductions of new functionality, manufacturing defects or delays, issues with open-source software or third-party hardware components, human error or misconduct, capacity constraints or design limitations. Any failure to perform our obligations to our customers could result in reduced use of our systems and harm to our brand and reputation, any of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solutions. Negative publicity concerning our solutions, or the quantum computing industry or quantum technology as a whole could limit acceptance of our solutions. We believe quantum computing will solve many large-scale problems. However, such problems may never be solvable by quantum computing technology. </w:t>
      </w:r>
    </w:p>
    <w:p>
      <w:pPr>
        <w:pStyle w:val="TextBody"/>
        <w:bidi w:val="0"/>
        <w:spacing w:before="240" w:after="0"/>
        <w:jc w:val="left"/>
        <w:rPr>
          <w:rFonts w:ascii="Times New Roman" w:hAnsi="Times New Roman"/>
          <w:sz w:val="20"/>
        </w:rPr>
      </w:pPr>
      <w:r>
        <w:rPr>
          <w:rFonts w:ascii="Times New Roman" w:hAnsi="Times New Roman"/>
          <w:sz w:val="20"/>
        </w:rPr>
        <w:t xml:space="preserve">If our clients and partners do not perceive the benefits of our solutions, or if our solutions do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quantum computing industry is competitive on a global scale and we may not be successful in competing in this industry or establishing and maintaining confidence in our long-term business prospects among current and future partners and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operate are rapidly evolving and highly competitive. As the marketplace continues to mature and new technologies and competitors enter, we expect competition to intensify. Our current competitors primarily include other quantum computing and large technology companies building superconducting quantum computers, including Google, IBM, Microsoft and Rigetti Computing. We also compete with quantum computers utilizing other modalities, including trapped ions (IonQ and Quantinuum), photonics (Xanadu Quantum Technologies), neutral atoms (Pasqal and Atom Computing) and cat qubits (Alice &amp; Bob), in our objective to develop quantum computers that reach quantum advantage. </w:t>
      </w:r>
    </w:p>
    <w:p>
      <w:pPr>
        <w:pStyle w:val="TextBody"/>
        <w:bidi w:val="0"/>
        <w:spacing w:before="240" w:after="0"/>
        <w:jc w:val="left"/>
        <w:rPr>
          <w:rFonts w:ascii="Times New Roman" w:hAnsi="Times New Roman"/>
          <w:sz w:val="20"/>
        </w:rPr>
      </w:pPr>
      <w:r>
        <w:rPr>
          <w:rFonts w:ascii="Times New Roman" w:hAnsi="Times New Roman"/>
          <w:sz w:val="20"/>
        </w:rPr>
        <w:t xml:space="preserve">We compete based on various factors, including technology, performance, open architecture, multi-cloud availability, software,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customer service organization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must be able to achieve our objectives in a timely manner such that we do not lose ground to competitors, including competing technologies. For example, our competitors may achieve certain narrow and/or broad quantum milestones faster than us, which may negatively impact our business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For any of the foregoing reasons, competition may have a negative impact on our ability to maintain and grow consumption of our platform or put downward pressure on our prices and gross margins, any of which could materially harm our reputation,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produced quantum computers with high qubit counts and we face significant barriers in our attempts to produce quantum computers at high volume, including the need to scale, fragment and standardize existing or invent and develop new technology. If we cannot successfully overcome those barriers, our business will be negatively impacted and could fail. </w:t>
      </w:r>
    </w:p>
    <w:p>
      <w:pPr>
        <w:pStyle w:val="TextBody"/>
        <w:bidi w:val="0"/>
        <w:spacing w:before="120" w:after="0"/>
        <w:jc w:val="left"/>
        <w:rPr>
          <w:rFonts w:ascii="Times New Roman" w:hAnsi="Times New Roman"/>
          <w:sz w:val="20"/>
        </w:rPr>
      </w:pPr>
      <w:r>
        <w:rPr>
          <w:rFonts w:ascii="Times New Roman" w:hAnsi="Times New Roman"/>
          <w:sz w:val="20"/>
        </w:rPr>
        <w:t xml:space="preserve">Producing quantum computers with high qubit counts at high volume is a difficult undertaking. There are significant research, development, manufacturing, engineering and scaling challenges that we must overcome to build and manufacture our quantum computers at high volume. It requires advances in both science and engineering, and we may not have the ability to deliver those advances. We are still in the development stage and face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 </w:t>
      </w:r>
    </w:p>
    <w:p>
      <w:pPr>
        <w:pStyle w:val="TextBody"/>
        <w:bidi w:val="0"/>
        <w:spacing w:before="240" w:after="0"/>
        <w:jc w:val="left"/>
        <w:rPr>
          <w:rFonts w:ascii="Times New Roman" w:hAnsi="Times New Roman"/>
          <w:sz w:val="20"/>
        </w:rPr>
      </w:pPr>
      <w:r>
        <w:rPr>
          <w:rFonts w:ascii="Times New Roman" w:hAnsi="Times New Roman"/>
          <w:sz w:val="20"/>
        </w:rPr>
        <w:t xml:space="preserve">Even if we complete development and achieve volume production of our quantum computers, if the cost, accuracy, performance characteristics or other specifications of our quantum computers fall short of our expectations, our business, financial condition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element of our business is currently dependent upon our relationship with our cloud providers. There are no assurances that we will be able to commercialize quantum computers at a meaningful scale from our relationships with cloud providers. </w:t>
      </w:r>
    </w:p>
    <w:p>
      <w:pPr>
        <w:pStyle w:val="TextBody"/>
        <w:bidi w:val="0"/>
        <w:spacing w:before="120" w:after="0"/>
        <w:jc w:val="left"/>
        <w:rPr>
          <w:rFonts w:ascii="Times New Roman" w:hAnsi="Times New Roman"/>
          <w:sz w:val="20"/>
        </w:rPr>
      </w:pPr>
      <w:r>
        <w:rPr>
          <w:rFonts w:ascii="Times New Roman" w:hAnsi="Times New Roman"/>
          <w:sz w:val="20"/>
        </w:rPr>
        <w:t xml:space="preserve">We currently offer access to our quantum computing systems through our own cloud service IQM Resonance and through Amazon Braket, which allows users to write quantum code and run it on quantum computing hardware. In addition, we may partner with additional public cloud providers in connection with our IQM Resonance cloud platform. </w:t>
      </w:r>
    </w:p>
    <w:p>
      <w:pPr>
        <w:pStyle w:val="TextBody"/>
        <w:bidi w:val="0"/>
        <w:spacing w:before="240" w:after="0"/>
        <w:jc w:val="left"/>
        <w:rPr>
          <w:rFonts w:ascii="Times New Roman" w:hAnsi="Times New Roman"/>
          <w:sz w:val="20"/>
        </w:rPr>
      </w:pPr>
      <w:r>
        <w:rPr>
          <w:rFonts w:ascii="Times New Roman" w:hAnsi="Times New Roman"/>
          <w:sz w:val="20"/>
        </w:rPr>
        <w:t xml:space="preserve">Amazon and other public cloud providers have internal quantum computing efforts that are competitive to our services. There is risk that one or more of these public cloud providers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 </w:t>
      </w:r>
    </w:p>
    <w:p>
      <w:pPr>
        <w:pStyle w:val="TextBody"/>
        <w:bidi w:val="0"/>
        <w:spacing w:before="240" w:after="0"/>
        <w:jc w:val="left"/>
        <w:rPr>
          <w:rFonts w:ascii="Times New Roman" w:hAnsi="Times New Roman"/>
          <w:sz w:val="20"/>
        </w:rPr>
      </w:pPr>
      <w:r>
        <w:rPr>
          <w:rFonts w:ascii="Times New Roman" w:hAnsi="Times New Roman"/>
          <w:sz w:val="20"/>
        </w:rPr>
        <w:t xml:space="preserve">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cloud service at the same scale and would experience significant delays and incur additional expense in transitioning customers to a different public cloud provider. 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computers fail to achieve quantum advantage, our business, financial condition and future prospects may be harmed. </w:t>
      </w:r>
    </w:p>
    <w:p>
      <w:pPr>
        <w:pStyle w:val="TextBody"/>
        <w:bidi w:val="0"/>
        <w:spacing w:before="120" w:after="0"/>
        <w:jc w:val="left"/>
        <w:rPr/>
      </w:pPr>
      <w:r>
        <w:rPr/>
        <w:t>“</w:t>
      </w:r>
      <w:r>
        <w:rPr>
          <w:rFonts w:ascii="Times New Roman" w:hAnsi="Times New Roman"/>
          <w:sz w:val="20"/>
        </w:rPr>
        <w:t xml:space="preserve">Quantum advantage” refers to the moment when a quantum computer can compute faster than traditional computers, while quantum supremacy is achieved once quantum computers are powerful enough to complete calculations that traditional supercomputers cannot perform at all. “Narrow quantum advantage” is when a quantum computer is able to solve practical problems in production workloads with improved accuracy, speed or cost. “Broad quantum advantage” is when quantum advantage is seen in many applications and developers prefer quantum computers to a traditional computer. No current quantum computers, including our quantum hardware, have reached broad quantum advantage, and may never reach such advantage. Achieving narrow and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In addition, the definitions and expectations with respect to what constitutes quantum advantage, including the anticipated stages of quantum technology maturation, may continue to evolve and may also diverge from others in the industry. Quantum computing technology, including narrow and broad quantum advantage, may take years or decades to be realized, if ever. </w:t>
      </w:r>
    </w:p>
    <w:p>
      <w:pPr>
        <w:pStyle w:val="TextBody"/>
        <w:bidi w:val="0"/>
        <w:spacing w:before="240" w:after="0"/>
        <w:jc w:val="left"/>
        <w:rPr>
          <w:rFonts w:ascii="Times New Roman" w:hAnsi="Times New Roman"/>
          <w:sz w:val="20"/>
        </w:rPr>
      </w:pPr>
      <w:r>
        <w:rPr>
          <w:rFonts w:ascii="Times New Roman" w:hAnsi="Times New Roman"/>
          <w:sz w:val="20"/>
        </w:rPr>
        <w:t xml:space="preserve">If we cannot develop quantum computers that have quantum advantage, customers may not continue to purchase our products and services. If other companies’ quantum computers reach narrow quantum advantage or broad quantum advantage prior to the time we reach such capabilities, it could lead to a loss of customers. If any of these events occur, it could have a material adverse effect on our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quantum computing systems are not compatible with some or all industry-standard software and hardware in the future, our business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Programming for quantum computing requires unique tools, software, hardware, and development environments. We have focused our efforts on creating quantum computing hardware, the system control platform for such hardware and a suite of low-level software programs that optimize execution of quantum algorithms on our hardware. Further up the stack, we, in part or entirely, rely on third parties to create and advance software, standards, specifications, applications, hardware and services that enable these systems to integrate into various environments and be utilized towards various customer use cases. Full utilization of our quantum computing solutions may depend on these third-party software, standards, specifications, applications, hardware and services, which may not be compatible with our quantum computing solutions and their development, or may not be available to us or our customers on commercially reasonable terms, or at all, which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reduce the cost of developing our quantum computers, which may prevent us from pricing our quantum systems competitively.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lower cost per qubit, which would make our quantum computing solution less competitive than those produced by our competitors and could have a material adverse effect on our business, financial condition or results of operations. Our ability to reduce the cost of developing our quantum computers may also be adversely affected by macroeconomic headwinds, including as a result of the impact of inflation on the cost of labor and products. The failure to price our offerings competitively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successfully execute our strategy, including in response to evolving customer needs and new technologies and other market requirements, or achieve our objectives in a timely manner, our business, financial condition and results of operations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Our future success depends on our ability to continue to innovate and increase customer adoption of our quantum solutions. If we are unable to enhance our quantum computing systems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growth are dependent on the success of our strategic relationships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depend on, and anticipate that we will continue to depend on, various third-party suppliers in order to sustain and grow our business. Failure of any of these suppliers to continue to provide products and services to maintain, support or secure their technology platforms or our integrations, or errors or defects in their technologies, products or services, could adversely affect our relationships with our customers, damage our brand and reputation and may result in delays or difficulties in our ability to provide our platform. Our ability to produce and scale our quantum computers is dependent also upon components we must source from the electronics and semiconductor industries. Shortages or supply interruptions in any of these components will adversely impact our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For example, our current and further-developed quantum processors require operating in the millikelvin temperature range, which is currently achieved by being placed in cryostats that are provided by third parties. In particular, we have developed our systems to integrate certain third-party cryostats. If we choose or are required to change cryostat providers or integrate across multiple cryostat providers, we will incur costs to develop and manufacture our products with the new or multiple providers and may experience delivery interruptions during a change of provider. Furthermore, certain software used in the operation of our products rely on open-source code managed by third parties and the open-source software we receive from the third-party cloud providers may no longer be developed or maintained to support future product development. Any changes or modifications to the third-party cryostat providers or the open source provided could negatively impact the functionality of, or require us to make changes to, our products, which would need to occur quickly to avoid interruptions in service for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Solutions that utilize our products and services may compete with other quantum or classical-computing based solutions developed and/or marketed by other suppliers and our solutions may lose favor with our partners. </w:t>
      </w:r>
    </w:p>
    <w:p>
      <w:pPr>
        <w:pStyle w:val="TextBody"/>
        <w:bidi w:val="0"/>
        <w:spacing w:before="240" w:after="0"/>
        <w:jc w:val="left"/>
        <w:rPr>
          <w:rFonts w:ascii="Times New Roman" w:hAnsi="Times New Roman"/>
          <w:sz w:val="20"/>
        </w:rPr>
      </w:pPr>
      <w:r>
        <w:rPr>
          <w:rFonts w:ascii="Times New Roman" w:hAnsi="Times New Roman"/>
          <w:sz w:val="20"/>
        </w:rPr>
        <w:t xml:space="preserve">As we scale our business, we may also seek to build relationships with consulting and service partners and assist them in establishing or expanding their business by developing solutions that utilize our products and services, as well as distribution partners, and any failure to establish and maintain such relationships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affect our growth plans. If any of our current or potential partners elect to not utilize our products or services, or reduce their current or potential use of our technology in favor of competing products, we may have to change our product strategies, which could have a material and adverse effect on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supply chain issues that could delay the introduction of certain of our products and negatively impact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reliant on third-party suppliers for components necessary to develop and manufacture our quantum computing solutions. We do not currently have long-term supply agreements with all of our suppliers. As our business grows, we must continue to scale and adapt our supply chain or it could potentially have an adverse impact on our business. Any of the following factors (and others) could have an adverse impact on the availability of these components necessary to our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enter into agreements with suppliers on commercially reasonable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license intellectual property from our suppliers, on commercially reasonable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suppliers to mature their operations in line with our growth and to meet our evolving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increase in the price of one or more components, including due to industry consolidation occurring within one or more component supplier markets or as a result of decreased production capacity at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reductions or interruptions in supply, including disruptions on our global supply chain as a result of the global chip shortage, geopolitical tensions in and around Taiwan, Ukraine, the Middle East and other areas of the world and any indirect effects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problems of either contract manufacturers or component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intentional sabotage by a malicious actor or 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increased raw material costs and other expenses associated with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obtaining raw materials that meet our quality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increased freight charges, disruptions in shipping or reduced availability of freight transportation;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proposals to impose, imposition of, or increase in, tariffs, trade protection measures, or import and export controls by the United States or other countries and countermeasures proposed or imposed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access to raw materials due to suppliers entering into exclusivity arrangements with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and resources required to facilitate a change in one or more of our current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beyond our control or that we do not presently anticipate could also affect our suppliers’ ability to deliver components to us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develop our supply chain management capabilities and recruit and retain qualified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adequately authorize procurement of inventory by our contract manufacturers;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appropriately cancel, reschedule, or adjust our requirements based on our business needs.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of the aforementioned factors were to materialize, it could cause us to halt production of our quantum computing solutions and/or entail higher manufacturing costs, any of which could materially adversely affect our business, operating results, and financial condition and could materially damage customer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other factors beyond our control or which we do not presently anticipate could also affect our suppliers’ ability to deliver components to us on a timely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revenue currently depends on contracts with the public sector, and our failure to receive and maintain government contracts or changes in the contracting or fiscal policies of the public sector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derive a significant portion of our revenue from contracts with the public sector, and we believe that the success and growth of our business will continue to depend on our successful procurement of government contracts. We have historically derived, and expect to continue to derive, a significant portion of our revenue from contracts with universities, national research institutions and other public sources, including the European Union’s EuroHPC Joint Undertaking funding program, either directly by us, as part of a consortium or through resellers. For the six months ended June 30, 2026 and 2025, sales to the public sector comprised 98.0% and 99.5% of our total revenue,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Contracts with the public sector are subject to a number of challenges and risks. The tender process for government contracts in Europe is subject to varying requirements, can be highly competitive, may be appealed and requires significant lead-time for market education, often requiring significant upfront time and expense without any assurance that these efforts will generate revenue. We may incur additional costs to satisfy eligibility and other criteria in connection with the tender process, which may not be successful. Any failure to comply with legislation governing tenders or to fulfill the criteria related to procurements could lead to our submissions being disqualified. We also must comply with laws and regulations relating to the formation, administration, and performance of contracts, which provide public sector customers with rights, many of which are not typically found in commercial contracts. In addition, our perceived relationship with the European or EU national entities could adversely affect our business prospects in certain non-European geographies. </w:t>
      </w:r>
    </w:p>
    <w:p>
      <w:pPr>
        <w:pStyle w:val="TextBody"/>
        <w:bidi w:val="0"/>
        <w:spacing w:before="240" w:after="0"/>
        <w:jc w:val="left"/>
        <w:rPr>
          <w:rFonts w:ascii="Times New Roman" w:hAnsi="Times New Roman"/>
          <w:sz w:val="20"/>
        </w:rPr>
      </w:pPr>
      <w:r>
        <w:rPr>
          <w:rFonts w:ascii="Times New Roman" w:hAnsi="Times New Roman"/>
          <w:sz w:val="20"/>
        </w:rPr>
        <w:t xml:space="preserve">Accordingly, our business, financial condition, results of operations, and growth prospects may be adversely affected by certain events or activities,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and differences between, government fiscal or procurement policies, or decreases in government funding available for procurement of goods and services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programs or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in the grant of personnel security clearances to our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 to secure facility clearances to perform classified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political environment, including before or after a change to the leadership within the government administration, and any resulting uncertainty or changes in policy or priorities and resultant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government’s attitude towards the capabilities that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government’s attitude towards us as a company or our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Appeals, disputes, or litigation relating to government procurement, including but not limited to bid protests by unsuccessful bidders on potential or actual awards of contracts to us or our partners by the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new laws or regulations or changes to existing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Budgetary constraints;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Influence by, or competition from, third parties with respect to pending, new or existing contracts with government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political or social attitudes with respect to security or sovereignty;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delays or changes in the government appropriations or procurement processes, including as a result of events such as war, incidents of terrorism, natural disasters and public health concerns or epidemics;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 unexpected costs or unanticipated delays caused by other factors outside of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events or activities, among others, could cause public sector customers to delay or refrain from entering into contracts with us and/or purchasing our computers in the future, reduce the size or timing of payments with respect to our services to, or purchases from, existing or new customers, or otherwise have an adverse effect on our business, results of operations, financial condition,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growth and success depends in part on our ability to sell effectively to the public sector and high performance computing (“HPC”) centers.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and potential customers include the public sector and HPC centers. Therefore, our future success will depend on our ability to effectively sell our products and services to such customers and strategic partners. Sales to these end-customers involve risks that may not be present (or that are present to a lesser extent) with sales to non-public sector or commercial customers. These risks include, but are not limited to, (i) increased purchasing power and leverage held by such customers in negotiating contractual arrangements with us and (ii) longer sales or service cycles and the associated risk that substantial time and resources may be spent on a potential end-customer that elects not to purchase our solutions. </w:t>
      </w:r>
    </w:p>
    <w:p>
      <w:pPr>
        <w:pStyle w:val="TextBody"/>
        <w:bidi w:val="0"/>
        <w:spacing w:before="240" w:after="0"/>
        <w:jc w:val="left"/>
        <w:rPr>
          <w:rFonts w:ascii="Times New Roman" w:hAnsi="Times New Roman"/>
          <w:sz w:val="20"/>
        </w:rPr>
      </w:pPr>
      <w:r>
        <w:rPr>
          <w:rFonts w:ascii="Times New Roman" w:hAnsi="Times New Roman"/>
          <w:sz w:val="20"/>
        </w:rPr>
        <w:t xml:space="preserve">Public sector agencies and large organizations often undertake a significant evaluation process that results in a lengthy sales cycle. Our contracts with public sector customers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than originally anticipated.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business, we participate in tenders for public procurement and we expect to acquire an increasing number of our new customers and projects through tenders for public procurement. As such, success in public tenders is important for us and the importance of public tenders is expected to grow in line with the expected growth in our business. Compliance with the rules and procedures set out in regulations governing tenders and requirements concerning individual tenders is a precondition for participating in tenders, and furthermore, the companies participating in tenders must satisfy the criteria set by the organizer of the tender process. If the legislation applicable to tenders or the criteria used in tenders change significantly in the future, it is possible that we will not be able to respond sufficiently quickly, or at all, to the requirements set by amended legislation or new requirements used in tenders. Efforts to satisfy eligibility and other criteria related to tenders may also incur additional costs to us, and through this, weaken our profitability.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legislation governing tenders or to fulfil the criteria related to procurements could lead to our submissions being disqualified from tenders. Large-scale problems in compliance with regulations governing tenders could thus lead to a significant decline in the number or value of project contracts received through tenders. Furthermore, it cannot be ruled out that committing violations of the law or contracts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engaging in other procedures deemed professional malpractice could, in the future, lead to us being excluded from some public procurements. If we do not comply with the rules of tenders or do not fulfil the criteria set as a prerequisite for participating in such tenders, or if our competitiveness deteriorates, there is a risk that the number of our public sector customers and projects will not grow as expected or will decrease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reductions in government spending in any jurisdiction in which we do or seek to do business could have adverse consequences on our financial position, results of operations and business. The funding of our programs may be subject to the overall government budget and appropriation decisions and processes, which are driven by numerous factors, including geo-political events and macroeconomic conditions. Similar factors may be relevant to our anticipated future revenues from other governments. In addition, changes in government priorities and requirements could impact the funding, or the timing of funding, of our programs, which could negatively impact our results of operations and financial condition. Any risk related to the acquisition of customers and projects and retaining them described above, if materialized, could have a material adverse effect on our business, financial position, results of operations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System failures, interruptions, delays in service, catastrophic events, inadequate infrastructure and resulting interruptions in the availability or functionality of our products and services could harm our reputation or subject us to significant liability, and adversely affect our business, financial condition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Our brand, reputation and ability to attract, retain and serve our customers are also dependent upon the reliable performance of our platform, including our underlying technical infrastructure. Our systems and those of our third-party data center facilities may experience service interruptions, human error, earthquakes, hurricanes, floods, fires, natural disasters, power losses, disruptions in telecommunications services, fraud, military or political conflicts, terrorist attacks and other geopolitical unrest, computer viruses, or other events. Our systems are also subject to break-ins, sabotage, and acts of vandalism. Our platform and technical infrastructure may not be adequately designed with sufficient reliability and redundancy and our disaster recovery planning, which includes using geographically distinct and multi-region data centers, may not be sufficient to avoid performance delays or outages that could be harmful to the businesses of our customers and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experience service interruptions which disrupt the availability or reduce the speed or functionality of our platform. These events may result in loss of revenue and could result in significant expense to remedy resultant data loss or corruption and/or recover from the interruption. A prolonged interruption in the availability or reduction in the speed or other functionality of our platform could materially harm our reputation and business. Frequent or persistent interruptions in access to functionality of our platform could cause our customers to believe that our platform is unreliable. If our platform is unavailable when our customers attempt to access it, or if it does not perform to expected levels, our customers may cease to use our platform entirely. </w:t>
      </w:r>
    </w:p>
    <w:p>
      <w:pPr>
        <w:pStyle w:val="TextBody"/>
        <w:bidi w:val="0"/>
        <w:spacing w:before="240" w:after="0"/>
        <w:jc w:val="left"/>
        <w:rPr>
          <w:rFonts w:ascii="Times New Roman" w:hAnsi="Times New Roman"/>
          <w:sz w:val="20"/>
        </w:rPr>
      </w:pPr>
      <w:r>
        <w:rPr>
          <w:rFonts w:ascii="Times New Roman" w:hAnsi="Times New Roman"/>
          <w:sz w:val="20"/>
        </w:rPr>
        <w:t xml:space="preserve">Moreover, to the extent that any system failure or similar event results in damages to customers or their businesses, these customers could seek compensation from us for their losses, and those claims, even if unsuccessful, would likely be time-consuming and costly to address. While we have implemented measures intended to prevent or mitigate such interruptions, such measures may not be successful in preventing service interruptions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 global macroeconomic and political conditions could materially adversely affect our business prospects, financial condition,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could be materially affected by economic and political conditions in the European Union and internationally, including inflation, deflation, interest rates, availability of capital, energy and commodity prices, trade laws and the effects of governmental initiatives to manage 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Potential customers may delay or decrease spending as their business and budgets are impacted by economic conditions. The inability of potential customers to pay us for our services may adversely affect our earnings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economic, political and financial market conditions in Europe have fluctuated significantly in recent years due to factors such as Russia’s invasion of Ukraine, the conflict in the Middle East and the COVID-19 pandemic. Further, the applicable sanctions and related countermeasures by North Atlantic Treaty Organization members, the United States and other countries have led to, and are likely to lead to additional, market disruptions, including significant volatility in commodity prices, credit, and capital markets, as well as supply chain interruptions for equipment, which could have an adverse impact on our operations and financial performance. Global supply chain disruptions have increasingly affected both the availability and cost of materials, component manufacturing and deliveries. In addition, the ongoing tensions between the United States and its other trading partners including the European Union, have resulted in the implementation of tariffs across various sectors and among various countries. The European Union has also been involved in trade disputes with China, implementing retaliatory measures and facing tariffs on export sectors. Disruptions such as military conflicts, sanctions, and other countermeasures between nations, as well as any escalation in tension between nations, may result in delays in equipment deliveries and cost escalations that could adversely affect our business prospects,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a failure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and growth plans are highly dependent on our ability to attract and retain our executive officers, key employees and other qualified personnel. In particular, hiring qualified personnel with relevant experience in engineering, supply chain management and sales, as well as other technical staff and research and development personnel, is critical to our business and the development of our quantum computing systems. The market for highly skilled workers and leaders in the quantum computing industry is extremely competitive, and many of the companies with which we compete for qualified personnel have greater financial and other resources than we do. As we build our brand and become more well known, there is an increased risk that competitors or other companies may seek to hire our personnel. The loss of the services provided by these individuals will have an adverse impact on the achievement of our business strategy. These individuals could leave our employment with limited prior notice. A loss of a member of senior management or other key employee particularly to a competitor, could also place us at a competitive disadvantage. Our ability to adequately incentivize and retain the services of our executive officers and key employees may depend on our ability to offer satisfactory compensation to such personnel. We can provide no assurances that we will be able to retain the services of any executive officers or other key employees, or that we would be able to timely replace such individuals should any of them depart. </w:t>
      </w:r>
    </w:p>
    <w:p>
      <w:pPr>
        <w:pStyle w:val="TextBody"/>
        <w:bidi w:val="0"/>
        <w:spacing w:before="240" w:after="0"/>
        <w:jc w:val="left"/>
        <w:rPr>
          <w:rFonts w:ascii="Times New Roman" w:hAnsi="Times New Roman"/>
          <w:sz w:val="20"/>
        </w:rPr>
      </w:pPr>
      <w:r>
        <w:rPr>
          <w:rFonts w:ascii="Times New Roman" w:hAnsi="Times New Roman"/>
          <w:sz w:val="20"/>
        </w:rPr>
        <w:t xml:space="preserve">Effective succession planning is also important to our long-term success and may cause disruption to our business due to, among other things, diverting management’s attention away from the operations of the business or causing a deterioration in morale. Failure to ensure effective transfer of knowledge and smooth transitions involving key employees could hinder our strategic planning and execution.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otherwise be unable to develop and grow our business as projected, or even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effectively develop and expand our marketing and sales capabilities could harm our ability to achieve broader market acceptance of our products. </w:t>
      </w:r>
    </w:p>
    <w:p>
      <w:pPr>
        <w:pStyle w:val="TextBody"/>
        <w:bidi w:val="0"/>
        <w:spacing w:before="120" w:after="0"/>
        <w:jc w:val="left"/>
        <w:rPr>
          <w:rFonts w:ascii="Times New Roman" w:hAnsi="Times New Roman"/>
          <w:sz w:val="20"/>
        </w:rPr>
      </w:pPr>
      <w:r>
        <w:rPr>
          <w:rFonts w:ascii="Times New Roman" w:hAnsi="Times New Roman"/>
          <w:sz w:val="20"/>
        </w:rPr>
        <w:t xml:space="preserve">As we scale our commercial organization, our ability to increase our customer base and achieve broader market acceptance of our quantum computers will significantly depend on our ability to expand our marketing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sales operations. We plan to dedicate significant resources to our sales and marketing activities. These efforts will require us to invest significant financial and other resources and if they fail to attract additional customers or do not result in broader market acceptance of our quantum computers, we will not achieve our growth plans and our business and prospects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there is significant competition for sales personnel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These individuals may not become productive as quickly as we expect, if at all, and we may be unable to hire or retain sufficient numbers of qualified individuals in the markets where we do business or plan to do business. If we are unable to hire and train sufficient numbers of effective sales personnel, our sales personnel do not reach significant levels of productivity in a timely manner, or our sales personnel are not successful in acquiring new customers, our business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financial and operational resources, we must prioritize our research and development for use of quantum computing within certain products, designs, sectors or investments. Correctly prioritizing our research and development activities is particularly important for us due to the breadth of companies building or seeking to build universal, gate-model quantum computing systems that can meet the requirements for solving commercial problems. </w:t>
      </w:r>
    </w:p>
    <w:p>
      <w:pPr>
        <w:pStyle w:val="TextBody"/>
        <w:bidi w:val="0"/>
        <w:spacing w:before="240" w:after="0"/>
        <w:jc w:val="left"/>
        <w:rPr>
          <w:rFonts w:ascii="Times New Roman" w:hAnsi="Times New Roman"/>
          <w:sz w:val="20"/>
        </w:rPr>
      </w:pPr>
      <w:r>
        <w:rPr>
          <w:rFonts w:ascii="Times New Roman" w:hAnsi="Times New Roman"/>
          <w:sz w:val="20"/>
        </w:rPr>
        <w:t xml:space="preserve">As a result, we may forego or delay pursuit of opportunities in other products, designs, sectors or investments that later prove to have greater commercial potential and ability to achieve quantum superiority. For example, although we currently believe that quantum machine learning for artificial intelligence-based uses is poised to be a valuable domain of quantum advantage through rapid value capture from quick integration, the risks associated with developing a product that can compute algorithms that scale efficiently to real-world size applications and will be applicable to multiple use cases and competition in creating such a product, among others, could outweigh the benefits. </w:t>
      </w:r>
    </w:p>
    <w:p>
      <w:pPr>
        <w:pStyle w:val="TextBody"/>
        <w:bidi w:val="0"/>
        <w:spacing w:before="240" w:after="0"/>
        <w:jc w:val="left"/>
        <w:rPr>
          <w:rFonts w:ascii="Times New Roman" w:hAnsi="Times New Roman"/>
          <w:sz w:val="20"/>
        </w:rPr>
      </w:pPr>
      <w:r>
        <w:rPr>
          <w:rFonts w:ascii="Times New Roman" w:hAnsi="Times New Roman"/>
          <w:sz w:val="20"/>
        </w:rPr>
        <w:t xml:space="preserve">We may fail to capitalize on the products, designs, sectors, or investments we choose to pursue, and our resource allocation decisions may cause us to forego viable or more profitable products, designs, sectors or investments, which would have an adverse effect on our business, prospects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loss of intellectual property or other confidential business information; and other adverse consequences, which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Cybersecurity incidents such as malicious internet-based activity, online and offline fraud, denial-of-service attacks, ransomware attacks, business email compromises, computer malware, viruses, and social engineering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through deep fakes or other attacks using artificial intelligence which may be increasingly more difficult to identify as fake, and phishing attacks) as well as natural disasters and other similar activities threaten the confidentiality, integrity, and availability of our sensitive information and information technology systems, and those of the third parties upon which we rely. </w:t>
      </w:r>
    </w:p>
    <w:p>
      <w:pPr>
        <w:pStyle w:val="TextBody"/>
        <w:bidi w:val="0"/>
        <w:spacing w:before="240" w:after="0"/>
        <w:jc w:val="left"/>
        <w:rPr>
          <w:rFonts w:ascii="Times New Roman" w:hAnsi="Times New Roman"/>
          <w:sz w:val="20"/>
        </w:rPr>
      </w:pPr>
      <w:r>
        <w:rPr>
          <w:rFonts w:ascii="Times New Roman" w:hAnsi="Times New Roman"/>
          <w:sz w:val="20"/>
        </w:rPr>
        <w:t xml:space="preserve">Such threats are prevalent in the technology industry and our customers’ industries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The techniques may be used to sabotage or to obtain unauthorized access to our platform, systems, networks, or physical facilities where our quantum computers are stored, and we may be unable to implement adequate preventative measures or stop cybersecurity incidents from occurring or expanding in scope. Finnish law enforcement agencies have indicated to us that quantum computing technology is of particular interest to certain malicious cyber threat actors, including nation-state-supported actors. In addition, our cybersecurity risk could be increased as a result of the ongoing military conflict between Russia and Ukraine and the related sanctions imposed against Russia. </w:t>
      </w:r>
    </w:p>
    <w:p>
      <w:pPr>
        <w:pStyle w:val="TextBody"/>
        <w:bidi w:val="0"/>
        <w:spacing w:before="240" w:after="0"/>
        <w:jc w:val="left"/>
        <w:rPr>
          <w:rFonts w:ascii="Times New Roman" w:hAnsi="Times New Roman"/>
          <w:sz w:val="20"/>
        </w:rPr>
      </w:pPr>
      <w:r>
        <w:rPr>
          <w:rFonts w:ascii="Times New Roman" w:hAnsi="Times New Roman"/>
          <w:sz w:val="20"/>
        </w:rPr>
        <w:t xml:space="preserve">During times of war and other major conflicts, we and the third parties upon which we rely may be vulnerable to a heightened risk of cybersecurity incidents, including retaliatory cyber-attacks, that could materially disrupt our systems and operations, our third-party information systems, supply chain, and ability to produce, sell and distribute our goods and services. 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In addition,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We rely on third-party service providers and technologies to operate critical business systems to process sensitive information in a variety of contexts. We offer access to our technology through third-party public cloud providers such as AWS. These providers may also experience cybersecurity incidents and attacks on their products which may impact our systems. Cybersecurity incidents may also result from non-technical means, such as actions by an employee with access to our systems.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expend significant resources or modify our business activities to try to protect against security incidents. Certain data privacy and security obligations may require us to implement and maintain specific security measures to protect our information technology systems and sensitive information. While we and our third-party cloud providers have implemented security measures designed to protect against cybersecurity incidents, there can be no assurance that these measures will be effective and these measures could fail or may be insufficient. Although we take steps designed to detect, mitigate, and remediate vulnerabilities in our information systems (such as our hardware and/or software, including that of third parties upon which we rely), we may not be able to detect and remediate all vulnerabilities on a timely basis because the threats and techniques used to exploit the vulnerability change frequently and are often sophisticated in nature. Therefore, such vulnerabilities could be exploited but may not be detected until after a cybersecurity incident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applicable data privacy and security obligations may require us to notify relevant stakeholders, including affected individuals, customers, regulators, and investors of cybersecurity incidents. Such disclosures are costly, and the disclosure or the failure to comply with such requirements could lead to adverse consequences. In particular, applicable data protection laws impose strict breach notification timelines, and failure to meet these deadlines—including, for example, the 72-hour notification window under the GDPR—could exacerbate regulatory penalties and reputational harm. Actual or perceived cybersecurity incidents affecting sensitive information about the Company, our partners, our customers or third parties could expose us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cybersecurity incident in a timely manner, or it otherwise affects our customers or impacts our ability to operate our platform,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material damage to our reputation; monetary fund diversions; diversions of management attention; interruptions in our operations (including availability of data); financial loss; and other similar harms. </w:t>
      </w:r>
    </w:p>
    <w:p>
      <w:pPr>
        <w:pStyle w:val="TextBody"/>
        <w:bidi w:val="0"/>
        <w:spacing w:before="240" w:after="0"/>
        <w:jc w:val="left"/>
        <w:rPr>
          <w:rFonts w:ascii="Times New Roman" w:hAnsi="Times New Roman"/>
          <w:sz w:val="20"/>
        </w:rPr>
      </w:pPr>
      <w:r>
        <w:rPr>
          <w:rFonts w:ascii="Times New Roman" w:hAnsi="Times New Roman"/>
          <w:sz w:val="20"/>
        </w:rPr>
        <w:t xml:space="preserve">Cybersecurity incidents and attendant consequences may cause customers to stop using our services, deter new customers from using our services, and negatively impact our ability to grow and operate our business. Cybersecurity incidents also may result in current or future competitors obtaining sensitive information, including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cybersecurity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to remain competitive, we must continue to integrate artificial intelligence (“AI”) into our product development and operations. However, the rapidly evolving nature of AI technology exposes us to unique and new security risks. The security of AI systems is not yet fully understood or standardized, and traditional cybersecurity measures may not be sufficient to detect or prevent AI-specific threats. As a result, our AI systems, as well as our traditional systems, may be vulnerable to adversarial attacks, data manipulation, or other novel forms of exploitation. A cyber incident or security breach stemming from the use of AI could compromise our systems or data, leading to significant financial loss, regulatory penalties, loss of competitive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advantage, and reputational harm. Moreover, the global regulatory landscape for AI, including the European Union’s AI Act and other potential future regulations, remains uncertain. Compliance with these evolving and complex regulations could increase our costs of doing business, limit our ability to use AI in certain jurisdictions, or require us to modify our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our success depends, in part, on our ability to expand sales internationally, our business will be susceptible to risks associated with international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global in scope, with our headquarters in Finland, and a sales presence in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expand our international operations by developing our sales and operations presence internationally, which may include opening offices in new jurisdictions. Any additional international expansion efforts that we are undertaking and may undertake may not be successful. In addition, conducting international operations subjects us to new risks, some of which we have not generally faced in the countries where we currently operate. These risks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practical difficulties of enforcing intellectual property rights in countries with varying laws and standards and reduced or varied protection for intellectual property rights in some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evolving legal framework and additional legal or regulatory requirements for privacy and cybersecurity, which may necessitate the establishment of systems to maintain data in local markets, requiring us to invest in additional data centers and network infrastructure, and the implementation of additional employee privacy documentation (including locally compliant privacy notices and policies), all of which may involve substantial expense and may cause us to need to divert resources from other aspects of our business, all of which may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regulatory requirements, taxes, trade laws, tariffs, export quotas, custom duties or other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systems integrators and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 unexpected supply chain challenges or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technology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pricing environments, longer sales cycles, longer accounts receivable payment cycles and difficulties in collecting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financial accounting and reporting burdens and complexities;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and staffing international operations including the proper classification of independent contractors and other contingent workers, differing employer/employee relationships and local employment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involved with recruiting and retaining an expanded employee population, including highly skilled workers and leaders in the quantum computing industry, outside the United States through cash and equity-based incentive programs, and legal costs and regulatory restrictions in issuing our shares to employees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political and regulatory changes that may lead to restrictions on immigration and travel for our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exchange rates that may decrease the value of our foreign-based revenue or increase the cost of our foreign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public health threats or geopolitical events such as tensions in and around Ukraine, Israel and other areas of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degradation in EU relationships with targeted countries that could result in those countries disfavoring doing business with EU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adverse tax consequences, including the complexities of foreign value added tax (or other tax) systems, restrictions on the repatriation of earnings, and transfer pricing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permanent establishment risks and complexities in connection with international payroll, tax and social security requirements for international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laws and regulations applicable to our global operations also substantially increases our cost of doing business in foreign jurisdictions. We have limited experience in marketing, selling and supporting our platform outside of the European Union.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in a timely manner, our business, financial condition, revenues, results of operations or cash flows will suffer. </w:t>
      </w:r>
    </w:p>
    <w:p>
      <w:pPr>
        <w:pStyle w:val="TextBody"/>
        <w:bidi w:val="0"/>
        <w:spacing w:before="240" w:after="0"/>
        <w:jc w:val="left"/>
        <w:rPr>
          <w:rFonts w:ascii="Times New Roman" w:hAnsi="Times New Roman"/>
          <w:sz w:val="20"/>
        </w:rPr>
      </w:pPr>
      <w:r>
        <w:rPr>
          <w:rFonts w:ascii="Times New Roman" w:hAnsi="Times New Roman"/>
          <w:sz w:val="20"/>
        </w:rPr>
        <w:t xml:space="preserve">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international sales and operations subject us to additional risks, costs, and exposure to foreign currency exchange rate fluctuations, which can adversely affect our business, financial condition, revenues,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We are continuing to expand our international operations as part of our growth strategy. However, there are a variety of risks and costs associated with our international sales and operations, which include making investments prior to the sales or use of quantum computers, the cost of conducting our business internationally and hiring and training international employees and the costs associated with complying with local law.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cannot predict the rate at which our quantum computers will be accepted in international markets by potential customers.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ability to attract new customers to subscribe to our platform or to attract existing customers to renew or expand their use of our platform is directly correlated to the level of engagement we obtain with the customer. To the extent we are unable to effectively engage with potential customers due to limited sales force capacity in jurisdictions in which we do not currently operate, we may be unable to effectively grow in international markets. </w:t>
      </w:r>
    </w:p>
    <w:p>
      <w:pPr>
        <w:pStyle w:val="TextBody"/>
        <w:bidi w:val="0"/>
        <w:spacing w:before="240" w:after="0"/>
        <w:jc w:val="left"/>
        <w:rPr>
          <w:rFonts w:ascii="Times New Roman" w:hAnsi="Times New Roman"/>
          <w:sz w:val="20"/>
        </w:rPr>
      </w:pPr>
      <w:r>
        <w:rPr>
          <w:rFonts w:ascii="Times New Roman" w:hAnsi="Times New Roman"/>
          <w:sz w:val="20"/>
        </w:rPr>
        <w:t xml:space="preserve">As our international operations expand, our exposure to the effects of fluctuations in currency exchange rates grows. While we have primarily transacted with customers in Euros historically, we expect to continue to expand the number of transactions with our customers that are denominated in foreign currencies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fluctuations in the value of the Euro and other currencies may make our products and services more expensive for international customers, which could harm our business. Additionally, we incur expenses for employee compensation and other operating expenses in the local currency for such locations. Fluctuations in the exchange rates between the Euro and other currencies could result in an increase to the Euro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 We may attempt to mitigate a portion of these risks through foreign currency hedging based on our judgment of the appropriate trade-offs among risk, opportunity, and exposure. Any future hedging activities may not offset the full, or in some cases any, adverse financial impact resulting from unfavorable movement in foreign currency exchange rates, which could adversely affect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acquisitions, strategic investments, partnerships or alliances could be difficult to identify and integrate, divert the attention of management, disrupt our business and dilute shareholder value.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make acquisitions of other companies, products and technologies that we believe could complement, expand or enhance the features and functionality of our product offerings and technical capabilities, broaden our service offerings or provide growth opportunities.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customers, developers or investors. In addition, we may not be able to integrate acquired businesses or assets successfully or effectively manage our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Any such transactions or enhancements also may not result in any synergies or other benefits we had expected to achieve, which could result in impairment charges that could be substantial. In addition, we may not successfully evaluate or utilize the acquired technology and accurately forecast the financial impact of an acquisition transaction, including accounting charges. </w:t>
      </w:r>
    </w:p>
    <w:p>
      <w:pPr>
        <w:pStyle w:val="TextBody"/>
        <w:bidi w:val="0"/>
        <w:spacing w:before="240" w:after="0"/>
        <w:jc w:val="left"/>
        <w:rPr>
          <w:rFonts w:ascii="Times New Roman" w:hAnsi="Times New Roman"/>
          <w:sz w:val="20"/>
        </w:rPr>
      </w:pPr>
      <w:r>
        <w:rPr>
          <w:rFonts w:ascii="Times New Roman" w:hAnsi="Times New Roman"/>
          <w:sz w:val="20"/>
        </w:rPr>
        <w:t xml:space="preserve">We may have to pay cash, incur debt or issue equity securities to pay for any such acquisition, each of which could affect our financial condition or the value of our share capital. The sale of equity to finance any such acquisitions could result in dilution to our shareholders. If we incur debt, it would result in increased fixed obligations and could also subject us to covenants or other restrictions that would impede our ability to flexibly operate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Litigation and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exposed to risks associated with litigation, investigations and regulatory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face legal, administrative and regulatory proceedings, claims, demands and/or investigations involving shareholder,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while we maintain insurance for certain potential liabilities, such insurance does not cover all types and amounts of potential liabilities and is subject to various exclusions as well as caps on recoverable amounts. Even if we believe a claim is covered by insurance, insurers may dispute our entitlement to recovery for a variety of potential reasons, which may affect the timing and, if the insurers prevail, the amount of our recovery.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requirements relating to environmental and safety regulations and environmental remediation matters, which could adversely affect our business, results of operations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numerous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 </w:t>
      </w:r>
    </w:p>
    <w:p>
      <w:pPr>
        <w:pStyle w:val="TextBody"/>
        <w:bidi w:val="0"/>
        <w:spacing w:before="240" w:after="0"/>
        <w:jc w:val="left"/>
        <w:rPr>
          <w:rFonts w:ascii="Times New Roman" w:hAnsi="Times New Roman"/>
          <w:sz w:val="20"/>
        </w:rPr>
      </w:pPr>
      <w:r>
        <w:rPr>
          <w:rFonts w:ascii="Times New Roman" w:hAnsi="Times New Roman"/>
          <w:sz w:val="20"/>
        </w:rPr>
        <w:t xml:space="preserve">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in the cost of production. </w:t>
      </w:r>
    </w:p>
    <w:p>
      <w:pPr>
        <w:pStyle w:val="TextBody"/>
        <w:bidi w:val="0"/>
        <w:spacing w:before="240" w:after="0"/>
        <w:jc w:val="left"/>
        <w:rPr>
          <w:rFonts w:ascii="Times New Roman" w:hAnsi="Times New Roman"/>
          <w:sz w:val="20"/>
        </w:rPr>
      </w:pPr>
      <w:r>
        <w:rPr>
          <w:rFonts w:ascii="Times New Roman" w:hAnsi="Times New Roman"/>
          <w:sz w:val="20"/>
        </w:rPr>
        <w:t xml:space="preserve">Our manufacturing process will have hazards such as but not limited to hazardous materials, machines with moving parts, and high voltage and/or high current electrical systems typical of large manufacturing equipment and related safety incidents. Our manufacturing process utilizes certain chemicals that have been found to adversely impact climate change.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stringent and evolving privacy, data use, and security laws, regulations and rules in Finland, the European Union, the United States, and other jurisdictions in which we operate, as well as related contractual obligations, industry standards, policies and other obligations. Our actual or perceived failure to comply with such obligations could lead to regulatory investigations or actions; litigation; fines and penalties; disruptions of our business operations; reputational harm; loss of revenue or profits; loss of customers or sales; and otherwise, could adversely affect us and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We are, therefore, subject to numerous data privacy and security obligations, such as the European Union’s General Data Protection Regulation (“EU GDPR”), the United Kingdom’s GDPR (“UK GDPR”) (collectively, “GDPR”), the Data Protection Act of Finland, and various U.S. state and federal laws and regulations, including the California Consumer Privacy Act amended by the California Privacy Rights Act of 2020 (“CCPA”). We are also subject to evolving guidance, industry standards as appropriate to our business and the nature of the data we process, external and internal privacy and security policies, contractual requirements, and other obligations related to privacy, data use and security. </w:t>
      </w:r>
    </w:p>
    <w:p>
      <w:pPr>
        <w:pStyle w:val="TextBody"/>
        <w:bidi w:val="0"/>
        <w:spacing w:before="240" w:after="0"/>
        <w:jc w:val="left"/>
        <w:rPr>
          <w:rFonts w:ascii="Times New Roman" w:hAnsi="Times New Roman"/>
          <w:sz w:val="20"/>
        </w:rPr>
      </w:pPr>
      <w:r>
        <w:rPr>
          <w:rFonts w:ascii="Times New Roman" w:hAnsi="Times New Roman"/>
          <w:sz w:val="20"/>
        </w:rPr>
        <w:t xml:space="preserve">Globally, an increasing number of laws, regulations, and industry standards govern data privacy and security. Many such laws require controllers of personal data to implement appropriate technical and organizational measures to ensure a level of security appropriate to the risk, maintain detailed records of processing activities, and provide specific disclosures in privacy notices. Furthermore, these regimes afford data subjects with certain rights, including the right to access, correct, or delete certain personal data, and to object to or restrict certain data processing activities. Complying with these requirements may increase our legal and compliance costs and impact our business operations. For example, under the GDPR, companies may face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The CCPA provides for fines of up to $7,500 per intentional violation and allows private litigants affected by certain data breaches to recover significant statutory damages, while violations of Section 5 of the Federal Trade Commission Act may result in restrictions in personal data processing activities pursuant to decades-long consent decrees and fines. While these laws contain many similar types of obligations, every law contains unique obligations and timelines, making compliance difficult to ascertain and operationalize, and some such obligations conflict with obligations under other laws. Variations across various global privacy or data protection laws further complicate compliance efforts, and increase legal risk and compliance costs for us, and the third parties upon whom we rely. </w:t>
      </w:r>
    </w:p>
    <w:p>
      <w:pPr>
        <w:pStyle w:val="TextBody"/>
        <w:bidi w:val="0"/>
        <w:spacing w:before="240" w:after="0"/>
        <w:jc w:val="left"/>
        <w:rPr>
          <w:rFonts w:ascii="Times New Roman" w:hAnsi="Times New Roman"/>
          <w:sz w:val="20"/>
        </w:rPr>
      </w:pPr>
      <w:r>
        <w:rPr>
          <w:rFonts w:ascii="Times New Roman" w:hAnsi="Times New Roman"/>
          <w:sz w:val="20"/>
        </w:rPr>
        <w:t xml:space="preserve">Our employees and personnel use AI technologies to perform their work, and the disclosure and use of personal information in generative AI technologies is subject to various privacy laws and other privacy obligations. Our use of AI could result in additional compliance costs, regulatory investigations and actions, and lawsuits. The regulatory framework for AI technologies is rapidly evolving, as several jurisdictions around the globe, including Europe, and foreign government bodies and agencies have proposed, enacted, or are considering laws governing the development and use of AI, such as the European Union Artificial Intelligence Act (the “EU AI Act”). The EU AI Act—which entered into force in August 2024 and applies on a phased basis—introduces a tiered, risk-based regulatory framework that designates certain AI systems as “high-risk” and subjects them to significant compliance obligations. We may become subject to such obligations, and we expect other jurisdictions to adopt similar laws. </w:t>
      </w:r>
    </w:p>
    <w:p>
      <w:pPr>
        <w:pStyle w:val="TextBody"/>
        <w:bidi w:val="0"/>
        <w:spacing w:before="240" w:after="0"/>
        <w:jc w:val="left"/>
        <w:rPr>
          <w:rFonts w:ascii="Times New Roman" w:hAnsi="Times New Roman"/>
          <w:sz w:val="20"/>
        </w:rPr>
      </w:pPr>
      <w:r>
        <w:rPr>
          <w:rFonts w:ascii="Times New Roman" w:hAnsi="Times New Roman"/>
          <w:sz w:val="20"/>
        </w:rPr>
        <w:t xml:space="preserve">In parallel, industry standards in respect of AI are also developing quickly and may be difficult to interpret or implement consistently across jurisdictions. Additionally, existing laws and regulations may be interpreted in ways that would affect our use of AI technologies, or could be rescinded or amended as new administrations take differing approaches to evolving AI technologies. Compliance with these obligations may make it harder for us to conduct our business using AI, require us to change our business practices, lead to regulatory fines or penalties (including fines of up to 35 million or 7% of global annual turnover under the EU AI Act for the most serious violations), or prevent or limit our use of AI. In addition,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we may transfer personal data from the European Economic Area (“EEA”), the United Kingdom, Canada, Australia and other jurisdictions to the United States or other countries. These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data from the EEA and the United Kingdom to the United States in compliance with law, such as the EEA standard contractual clauses, the United Kingdom’s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If there is no lawful manner for us to transfer personal data from the EEA,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or United Kingdom to other jurisdictions, particularly to the United States, are subject to increased scrutiny from regulators, individual litigants, and activist groups. </w:t>
      </w:r>
    </w:p>
    <w:p>
      <w:pPr>
        <w:pStyle w:val="TextBody"/>
        <w:bidi w:val="0"/>
        <w:spacing w:before="240" w:after="0"/>
        <w:jc w:val="left"/>
        <w:rPr>
          <w:rFonts w:ascii="Times New Roman" w:hAnsi="Times New Roman"/>
          <w:sz w:val="20"/>
        </w:rPr>
      </w:pPr>
      <w:r>
        <w:rPr>
          <w:rFonts w:ascii="Times New Roman" w:hAnsi="Times New Roman"/>
          <w:sz w:val="20"/>
        </w:rPr>
        <w:t xml:space="preserve">We are also bound by contractual obligations related to data privacy and security, and our efforts to comply with such obligations may not be successful. For example, certain privacy laws, such as the GDPR and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w:t>
      </w:r>
    </w:p>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anti-corruption, anti-bribery and similar laws, and non-compliance with such laws can subject us to criminal or civil liability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anti-corruption laws of the jurisdictions in which we conduct business, including Chapter 30, Sections 7, 7 a, 8 and 8 a of the Finnish Criminal Code (39/1889), the U.S. Foreign Corrupt Practices Act of 1977, as amended (the “FCPA”), the U.S. domestic bribery statute contained in 18 U.S.C. § 201, the U.S. Travel Act, and other anti-bribery, and anti-corruption laws in other countries in which we conduct activities. </w:t>
      </w:r>
    </w:p>
    <w:p>
      <w:pPr>
        <w:pStyle w:val="TextBody"/>
        <w:bidi w:val="0"/>
        <w:spacing w:before="240" w:after="0"/>
        <w:jc w:val="left"/>
        <w:rPr>
          <w:rFonts w:ascii="Times New Roman" w:hAnsi="Times New Roman"/>
          <w:sz w:val="20"/>
        </w:rPr>
      </w:pPr>
      <w:r>
        <w:rPr>
          <w:rFonts w:ascii="Times New Roman" w:hAnsi="Times New Roman"/>
          <w:sz w:val="20"/>
        </w:rPr>
        <w:t xml:space="preserve">Anti-corruption and anti-bribery laws are interpreted broadly to generally prohibit individuals and companies, their employees, and their third-party intermediaries from authorizing, promising, offering, providing, soliciting, or accepting, directly or indirectly through third parties, improper payments, benefits, or anything of value to or from any person whether in the public or private sector. In addition, the FCPA requires public companies to make and keep books and records that accurately and fairly reflect the transactions of the corporation and to devise and maintain an adequate system of internal accounting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 </w:t>
      </w:r>
    </w:p>
    <w:p>
      <w:pPr>
        <w:pStyle w:val="TextBody"/>
        <w:bidi w:val="0"/>
        <w:spacing w:before="240" w:after="0"/>
        <w:jc w:val="left"/>
        <w:rPr>
          <w:rFonts w:ascii="Times New Roman" w:hAnsi="Times New Roman"/>
          <w:sz w:val="20"/>
        </w:rPr>
      </w:pPr>
      <w:r>
        <w:rPr>
          <w:rFonts w:ascii="Times New Roman" w:hAnsi="Times New Roman"/>
          <w:sz w:val="20"/>
        </w:rPr>
        <w:t xml:space="preserve">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government export and import controls and economic sanctions that could impair our ability to compete in international markets due to licensing requirements and subject us to liability if we are not in compliance with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Our products and technologies are subject to export control laws and regulations applicable in the European Union and Finland, including Regulation (EU) 2021/821 on the Export Controls Applicable to Dual-Use items and Finnish Act on the Export Control of Dual-Use Items (500/2024). Such export control and economic sanctions laws include restrictions or prohibitions on the sale or supply of certain products, technologies, and services to sanctioned countries, governments, persons and entities. In addition, certain of our products and technology are subject to export licensing or approval requirements. In several jurisdictions, export controls on quantum computing are quickly evolving and tightening. Many jurisdictions, including EU member states and the United States, have adopted targeted controls on certain types of quantum technologies, advanced semiconductors, and other related hardware and components. These controls may require licensing or other approvals and/or reporting requirements prior to export of such items and their related technology. In addition, export controls on quantum computing may continue to evolve and expand over time. Exports of our products and technology must be made in compliance with export control and sanctions laws and regulations. If we fail to comply with these laws and regulations, we and certain of our employees could be subject to penalties, and fines. </w:t>
      </w:r>
    </w:p>
    <w:p>
      <w:pPr>
        <w:pStyle w:val="TextBody"/>
        <w:bidi w:val="0"/>
        <w:spacing w:before="240" w:after="0"/>
        <w:jc w:val="left"/>
        <w:rPr>
          <w:rFonts w:ascii="Times New Roman" w:hAnsi="Times New Roman"/>
          <w:sz w:val="20"/>
        </w:rPr>
      </w:pPr>
      <w:r>
        <w:rPr>
          <w:rFonts w:ascii="Times New Roman" w:hAnsi="Times New Roman"/>
          <w:sz w:val="20"/>
        </w:rPr>
        <w:t xml:space="preserve">Further, the operation of our products within a fully operational quantum system may depend on products and technologies supplied by third parties. Changes in third party products or technologies or changes in applicable export or import laws and regulations may create delays in the introduction and sale of our products and technologies to customers or, in some cases, prevent sales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sell our products and technologies to existing or potential customers. Any decreased use of our products and technologies or limitation on our ability to sell our products and technologies would likely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subject to product liability claims, which could harm our financial condition and liquidity if we are not able to successfully defend or insure against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may become subject to product liability claims, even those without merit, which could harm our business prospects, operating results, and financial condition. We may face an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Governmental decisions with respect to perceived national security risks associated with quantum computing technology could impede the selling of our products and services. </w:t>
      </w:r>
    </w:p>
    <w:p>
      <w:pPr>
        <w:pStyle w:val="TextBody"/>
        <w:bidi w:val="0"/>
        <w:spacing w:before="120" w:after="0"/>
        <w:jc w:val="left"/>
        <w:rPr>
          <w:rFonts w:ascii="Times New Roman" w:hAnsi="Times New Roman"/>
          <w:sz w:val="20"/>
        </w:rPr>
      </w:pPr>
      <w:r>
        <w:rPr>
          <w:rFonts w:ascii="Times New Roman" w:hAnsi="Times New Roman"/>
          <w:sz w:val="20"/>
        </w:rPr>
        <w:t xml:space="preserve">Political challenges between the European Union and countries in which our suppliers are located and changes to trade policies, including tariff rates and customs duties, trade relations and other macroeconomic issues could adversely impact our business. For example, quantum computing has been designated as a technology with national security implications in many countries. International trade conflict has contributed to (i) increased pressure on the supply chain and could further result in increased energy costs; (ii) inflation, which could result in increases in the cost of manufacturing products, reduced purchasing power, increased price pressure and reduced or cancelled orders; (iii) increased risk of cybersecurity attacks; and (iv) general market instability, all of which could adversely impact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is also a possibility that future tariffs, trade protection measures or other restrictions are imposed on our products or on our customers, which could have a material adverse effect on our business. To the extent our technology is deemed a matter of national security, our business could be subject to increased restrictions or regulations, our customer and supplier base may be restricted and our business, prospects, operating results and financial condition could be harmed.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Any failure to obtain, maintain and protect our intellectual property rights could impair our ability to protect and commercialize our proprietary products and technology and cause us to lose our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various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research collaborators and other third parties; however, our employees and consultants may not abide by their obligations under their nondisclosure and invention assignment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However, we may not be able to prevent unauthorized use of our intellectual property. In addition, where intellectual property has been or may be conceived or developed in the course of research activities funded in whole or in part by the European Commission or governmental funding bodies of the European Union Member States, such intellectual property may be subject to certain rights retained by those funding bodies, including rights of access, use or ownership over results generated under the relevant funding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Our trade secrets may also be compromised, particularly in cross-border situations where different legal standards apply, which could cause us to lose our competitive advantage. Despite our efforts to protect our proprietary rights, third parties may attempt to copy or otherwise obtain, use or infringe our intellectual property. If a competitor were to independently develop or successfully reverse engineer technology that is substantially equivalent to our proprietary trade secrets, our competitive advantage could be materially diminished. Moreover, a competitor that independently develops the same information may seek patent protection on such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could result in our being restricted from using our own proprietary processes or, at a minimum, require us to incur the cost and uncertainty of asserting a prior use defense. 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 </w:t>
      </w:r>
    </w:p>
    <w:p>
      <w:pPr>
        <w:pStyle w:val="TextBody"/>
        <w:bidi w:val="0"/>
        <w:spacing w:before="240" w:after="0"/>
        <w:jc w:val="left"/>
        <w:rPr>
          <w:rFonts w:ascii="Times New Roman" w:hAnsi="Times New Roman"/>
          <w:sz w:val="20"/>
        </w:rPr>
      </w:pPr>
      <w:r>
        <w:rPr>
          <w:rFonts w:ascii="Times New Roman" w:hAnsi="Times New Roman"/>
          <w:sz w:val="20"/>
        </w:rPr>
        <w:t xml:space="preserve">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secure patent protection or enforce our patent rights could have a material adverse effect on our ability to prevent others from commercializing similar products or technology. </w:t>
      </w:r>
    </w:p>
    <w:p>
      <w:pPr>
        <w:pStyle w:val="TextBody"/>
        <w:bidi w:val="0"/>
        <w:spacing w:before="120" w:after="0"/>
        <w:jc w:val="left"/>
        <w:rPr>
          <w:rFonts w:ascii="Times New Roman" w:hAnsi="Times New Roman"/>
          <w:sz w:val="20"/>
        </w:rPr>
      </w:pPr>
      <w:r>
        <w:rPr>
          <w:rFonts w:ascii="Times New Roman" w:hAnsi="Times New Roman"/>
          <w:sz w:val="20"/>
        </w:rPr>
        <w:t xml:space="preserve">The application and registration of patents involves complex legal and factual questions. As a result, we cannot be certain that the patent applications that we file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w:t>
      </w:r>
    </w:p>
    <w:p>
      <w:pPr>
        <w:pStyle w:val="TextBody"/>
        <w:bidi w:val="0"/>
        <w:spacing w:before="240" w:after="0"/>
        <w:jc w:val="left"/>
        <w:rPr>
          <w:rFonts w:ascii="Times New Roman" w:hAnsi="Times New Roman"/>
          <w:sz w:val="20"/>
        </w:rPr>
      </w:pPr>
      <w:r>
        <w:rPr>
          <w:rFonts w:ascii="Times New Roman" w:hAnsi="Times New Roman"/>
          <w:sz w:val="20"/>
        </w:rPr>
        <w:t xml:space="preserve">Any of our existing or pending patents may also be challenged by others on the basis that they are otherwise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 In addition, patents issued to us may be infringed upon or designed around by others and others may obtain patents that require license or design around, either of which would increase costs and may adversely affect our business, prospects,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patent infringement and other intellectual property claims that could be costly to defend, result in injunctions and significant damage awards, or limit our ability to use certain key technologies in the future or require development of non-infringing products, which could result in a significant expenditure and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Moreover, in recent years, individuals and groups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strength of our defenses will depend on the rights asserted, the interpretation of these rights, and our ability to invalidate the asserted rights. However, we could be unsuccessful in advancing non-infringement and/or invalidity arguments in our defense.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 </w:t>
      </w:r>
    </w:p>
    <w:p>
      <w:pPr>
        <w:pStyle w:val="TextBody"/>
        <w:bidi w:val="0"/>
        <w:spacing w:before="240" w:after="0"/>
        <w:jc w:val="left"/>
        <w:rPr>
          <w:rFonts w:ascii="Times New Roman" w:hAnsi="Times New Roman"/>
          <w:sz w:val="20"/>
        </w:rPr>
      </w:pPr>
      <w:r>
        <w:rPr>
          <w:rFonts w:ascii="Times New Roman" w:hAnsi="Times New Roman"/>
          <w:sz w:val="20"/>
        </w:rPr>
        <w:t xml:space="preserve">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Moreover, vendors from whom we purchase hardware or software may not indemnify us in the event that such hardware or software is accused of infringing a third-party’s patent or trademark or of misappropriating a third-party’s trade secret, or any indemnification granted by such vendors may not be sufficient to address any liability and costs we incur as a result of such claims. </w:t>
      </w:r>
    </w:p>
    <w:p>
      <w:pPr>
        <w:pStyle w:val="TextBody"/>
        <w:bidi w:val="0"/>
        <w:spacing w:before="240" w:after="0"/>
        <w:jc w:val="left"/>
        <w:rPr>
          <w:rFonts w:ascii="Times New Roman" w:hAnsi="Times New Roman"/>
          <w:sz w:val="20"/>
        </w:rPr>
      </w:pPr>
      <w:r>
        <w:rPr>
          <w:rFonts w:ascii="Times New Roman" w:hAnsi="Times New Roman"/>
          <w:sz w:val="20"/>
        </w:rPr>
        <w:t xml:space="preserve">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In addition, if we are found to willfully infringe third-party patents or trademarks or to have misappropriated trade secrets, we could be required to pay treble damages in addition to other penalties.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the IQM ADSs or IQM Warrants. </w:t>
      </w:r>
    </w:p>
    <w:p>
      <w:pPr>
        <w:pStyle w:val="TextBody"/>
        <w:bidi w:val="0"/>
        <w:spacing w:before="240" w:after="0"/>
        <w:jc w:val="left"/>
        <w:rPr>
          <w:rFonts w:ascii="Times New Roman" w:hAnsi="Times New Roman"/>
          <w:sz w:val="20"/>
        </w:rPr>
      </w:pPr>
      <w:r>
        <w:rPr>
          <w:rFonts w:ascii="Times New Roman" w:hAnsi="Times New Roman"/>
          <w:sz w:val="20"/>
        </w:rPr>
        <w:t xml:space="preserve">Any intellectual property litigation to which we might become a party, or for which we are required to provide indemnification, regardless of the merit of the claim or our defenses, may require us to do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cease selling or using solutions or services that incorporate the intellectual property rights that allegedly infringe, misappropriate or violate the intellectual property of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substantial payments for legal fees, settlement payments or other costs or damages;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 license, which may not be available on reasonable terms or at all, to sell or use the relevant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redesign the allegedly infringing solutions to avoid infringement, misappropriation or violation, which could be costly, time-consuming or impossible;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indemnify third parties using our products or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occurrence of infringement claims may grow as the market for our products, services and technologies grows. Accordingly, our exposure to damages resulting from infringement claims could increase and this could further exhaust our financial and management resources.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intellectual property often results from complex arrangements that are subject to interpretation, and we may become subject to claims challenging the inventorship or ownership of our patents and other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are a party to many agreements under which our employees, contractors, collaborators and consultants create intellectual property. Examples include negotiated research and license agreements and European government grants. Each of these relationships may include complex contractual provisions, which allocate intellectual property rights between us and our contractual counterparties. Such allocations of intellectual property rights often result from the interpretations of these provisions based on, among other factors, what funds or resources were used, the subject matter of the intellectual property, and whether new intellectual property is derived from or reliant on one of the parties’ background rights. From time to time, we may enter into discussions or, in some cases, formal contractual disputes with our counterparties regarding the proper allocation of such rights. If our interpretation of the agreements, the relevant policies and/or the operative facts, under applicable law, were deemed incorrect or to otherwise vest ownership of intellectual property rights in a third party, the relevant intellectual property that is the subject of the dispute could be re-allocated to such third party, converted to a joint ownership structure, or otherwise reduced in value to our business. In such cases, our ability to successfully enforce our intellectual property portfolio, or even to commercialize our portfolio without having to share revenue, could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We may also become subject to claims that collaborators or other third parties have an interest in our patents or other intellectual property as an owner, a joint owner, a licensee, an inventor, or a co-inventor. In the latter two cases, the failure to name the proper inventor or co-inventors on a patent application could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our intellectual property has been or may be conceived or developed through third party research collaborations, including through research collaborations that may be funded by governmental entities, and thus may be subject to third party rights. If we fail to secure sufficient license rights to intellectual property owned by these third parties, or if we fail to comply with our obligations under our agreements with these third parties, or if these third parties exercise their rights in a way that negatively impacts our business, it could delay, prevent, or increase our costs of development and commercialization of our product. </w:t>
      </w:r>
    </w:p>
    <w:p>
      <w:pPr>
        <w:pStyle w:val="TextBody"/>
        <w:bidi w:val="0"/>
        <w:spacing w:before="120" w:after="0"/>
        <w:jc w:val="left"/>
        <w:rPr>
          <w:rFonts w:ascii="Times New Roman" w:hAnsi="Times New Roman"/>
          <w:sz w:val="20"/>
        </w:rPr>
      </w:pPr>
      <w:r>
        <w:rPr>
          <w:rFonts w:ascii="Times New Roman" w:hAnsi="Times New Roman"/>
          <w:sz w:val="20"/>
        </w:rPr>
        <w:t xml:space="preserve">Collaboration with third parties to develop intellectual property is of critical importance to our business and our product development and commercialization plans and we are a party to research and collaboration agreements with third parties, including certain universities, government laboratories or other HPC centers, and other third parties. Our current and future plans may be heavily reliant upon these collaborations to develop patents, technology and other intellectual property that may be important or necessary to the development, manufacture and commercialization of our products. In some cases, these collaborations use certain intellectual property that may not be owned by us, and which intellectual property is not currently licensed to us under terms that would permit us to commercialize such intellectual property in our products. We expect that we will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need to enter into additional license agreements in the future to secure sufficient license rights that would enable us to commercialize our products. There is no guarantee that these counterparties will be willing to enter into such agreements on commercially advantageous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For example, some of our existing agreements with collaborators impose, and we expect that future license agreements with counterparties will impose, various financial and other obligations on us related to various commercial and development obligations. If we fail to comply with our obligations under our agreements with these collaborators, or if we fail to secure sufficient license rights to intellectual property owned by these collaborators, or if these third party collaborators otherwise have a right to terminate their current or future agreements with us, it could subject us to liability and substantially delay, prevent, or increase our costs of development, manufacturing, marketing and commercialization of our products, which could affect the competitive landscape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Some of our collaboration agreements, particularly those involving participation by more than one organization, may also result in joint ownership of intellectual property arising from the collaboration, or require us to negotiate the allocation of intellectual property rights. There is no guarantee that we will be able to reach consensus on such allocation on terms that are favorable to us, or at all. Additionally, these agreements may expire and the collaborators may be unwilling to extend such agreements on acceptable terms, if at all. Our business could significantly suffer, for example, if current or future license agreements terminate or expire, if the licensors or collaborators fail to abide by the terms of the agreement, or if we are unable to enter into, extend rights under, or renew necessary agreements on acceptable terms. </w:t>
      </w:r>
    </w:p>
    <w:p>
      <w:pPr>
        <w:pStyle w:val="TextBody"/>
        <w:bidi w:val="0"/>
        <w:spacing w:before="240" w:after="0"/>
        <w:jc w:val="left"/>
        <w:rPr>
          <w:rFonts w:ascii="Times New Roman" w:hAnsi="Times New Roman"/>
          <w:sz w:val="20"/>
        </w:rPr>
      </w:pPr>
      <w:r>
        <w:rPr>
          <w:rFonts w:ascii="Times New Roman" w:hAnsi="Times New Roman"/>
          <w:sz w:val="20"/>
        </w:rPr>
        <w:t xml:space="preserve">Collaboration with third parties to develop intellectual property and our future licensing of such intellectual property involves complex legal, business and scientific issues, and certain provisions in intellectual property license agreements may be susceptible to multiple interpretations. Disputes may arise between us and our counterparties regarding intellectual property subject to a current or future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relevant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with respect to the use of the licensed technology in relation to our development and commercialization of our product and technology, and what activities satisfy those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us and our licensors;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transfer or assign the license;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and results of operations. We may not be able to exercise all rights and remedies available to us, including seeking to cure any breach by us, and otherwise seek to preserve our rights under such agreements in a timely manner, at an acceptable cost or at all. Moreover, if disputes over intellectual property impair our ability to maintain or expand our current collaboration relationships or future licenses on acceptable terms, we may be forced to invest further time, effort and funds into development of replacement or alternative intellectual property or technology with different partners, or in some cases, we may be unable to successfully develop and commercialize our products or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also been, and intend to continue to be in the future, a U.S. federal government subcontractor, and as a result, the U.S. government may have certain rights to intellectual property embodied in certain of our current or future products pursuant to the Bayh-Dole Act of 1980, or the Patent and Trademark Law Amendments Act. These U.S. government rights include a non-exclusive, non-transferable, irrevocable worldwide license to use inventions for any governmental purpose.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w:t>
      </w:r>
    </w:p>
    <w:p>
      <w:pPr>
        <w:pStyle w:val="TextBody"/>
        <w:bidi w:val="0"/>
        <w:spacing w:before="240" w:after="0"/>
        <w:jc w:val="left"/>
        <w:rPr>
          <w:rFonts w:ascii="Times New Roman" w:hAnsi="Times New Roman"/>
          <w:sz w:val="20"/>
        </w:rPr>
      </w:pPr>
      <w:r>
        <w:rPr>
          <w:rFonts w:ascii="Times New Roman" w:hAnsi="Times New Roman"/>
          <w:sz w:val="20"/>
        </w:rPr>
        <w:t xml:space="preserve">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 require that we comply with this requirement. </w:t>
      </w:r>
    </w:p>
    <w:p>
      <w:pPr>
        <w:pStyle w:val="TextBody"/>
        <w:bidi w:val="0"/>
        <w:spacing w:before="240" w:after="0"/>
        <w:jc w:val="left"/>
        <w:rPr>
          <w:rFonts w:ascii="Times New Roman" w:hAnsi="Times New Roman"/>
          <w:sz w:val="20"/>
        </w:rPr>
      </w:pPr>
      <w:r>
        <w:rPr>
          <w:rFonts w:ascii="Times New Roman" w:hAnsi="Times New Roman"/>
          <w:sz w:val="20"/>
        </w:rPr>
        <w:t xml:space="preserve">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Elements of our products use, or are developed using, open-source software, which could negatively affect our ability to offer and sell our solutions and subject us to possible litigation. </w:t>
      </w:r>
    </w:p>
    <w:p>
      <w:pPr>
        <w:pStyle w:val="TextBody"/>
        <w:bidi w:val="0"/>
        <w:spacing w:before="120" w:after="0"/>
        <w:jc w:val="left"/>
        <w:rPr>
          <w:rFonts w:ascii="Times New Roman" w:hAnsi="Times New Roman"/>
          <w:sz w:val="20"/>
        </w:rPr>
      </w:pPr>
      <w:r>
        <w:rPr>
          <w:rFonts w:ascii="Times New Roman" w:hAnsi="Times New Roman"/>
          <w:sz w:val="20"/>
        </w:rPr>
        <w:t xml:space="preserve">Our products incorporate, or are developed using, software licensed under open-source licenses, and we expect to continue to incorporate, or use for development, software or other materials licensed under open-source licenses in the future. From time to time, companies that use third-party open-source software have faced claims challenging the use of such open-source software and requesting compliance with the open-source license terms. Accordingly, we may be subject to suits by parties claiming ownership of what we believe to be open-source software or claiming non-compliance with the applicable licensing terms. Some open-source software licenses require users who use, distribute or make available across a network software and services that include open-source software to offer aspects of the technology that incorporates the open-source software for no cost or for a limited cost. We may also be required to make publicly available source code (which in some circumstances could include valuable proprietary code) we create based upon incorporating or using the open-source software for modifications or derivative works or to license such modifications or derivative works under the terms of the particular open-source license. While we try to mitigate the likelihood of such risks, we may inadvertently use third-party open-source software in a manner that exposes us to claims of non-compliance with the terms of their licenses, including claims of intellectual property rights infringement or for breach of contract. Furthermore, there exists today an increasing number of types of open-source software licenses, almost none of which have been tested in courts of law to provide guidance of their proper legal interpretations. If we were to receive a claim of non-compliance with the terms of any of these open-source licenses, we could be required to publicly release certain portions of our proprietary source code. We could also be required to expend substantial time and resources to re-engineer some of our solutions. Any of the foregoing could disrupt and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also make some of our source code available under open-source licenses. Because the source code we distribute under open-source licenses is publicly available, our ability to protect our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such source code may be limited or lost entirely, and we may be limited in our ability to prevent our competitors or others from using such contributed source code, in each case, for the reasons discussed above. While we take steps to mitigate the risk that employees or contractors may submit proprietary source code that is not intended to be open-sourced to open-source projects, we cannot guarantee that such practices will be effective.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use of third-party open-source software typically exposes us to greater risks than the use of third-party commercial software or data because open-source licensors generally do not provide warranties or controls on the functionality or origin of the software or data. Use of open-source software may also present additional security risks because the public availability of such software may make it easier for hackers and other third parties to determine how to compromise our systems. Any of the foregoing could harm our business and could help our competitors develop products that are similar to or better than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Making portions of our software products or technology “open source” could reduce barriers to entry for competitors, adversely affect our revenue model, and result in a loss of proprietary advantage. </w:t>
      </w:r>
    </w:p>
    <w:p>
      <w:pPr>
        <w:pStyle w:val="TextBody"/>
        <w:bidi w:val="0"/>
        <w:spacing w:before="120" w:after="0"/>
        <w:jc w:val="left"/>
        <w:rPr>
          <w:rFonts w:ascii="Times New Roman" w:hAnsi="Times New Roman"/>
          <w:sz w:val="20"/>
        </w:rPr>
      </w:pPr>
      <w:r>
        <w:rPr>
          <w:rFonts w:ascii="Times New Roman" w:hAnsi="Times New Roman"/>
          <w:sz w:val="20"/>
        </w:rPr>
        <w:t xml:space="preserve">We have made, or may in the future make, certain portions of our software, source code, or other proprietary software-based technology available under open-source licenses. While open sourcing components of our products may facilitate broader developer adoption, enhance interoperability, and foster community-driven innovation, this strategy involves significant risks. By making portions of our technology openly available, we may reduce barriers to entry for existing or potential competitors, who could use our openly licensed code to develop competing products or services at a lower cost and with shorter development timelines than if they had to develop such technology independently. In addition, making technology available under open-source licenses may limit our ability to generate revenue from those components in the future, and we may be unable to recapture the commercial value of the technology we have disclosed. Open sourcing may also reduce or eliminate certain proprietary advantages we currently have in the marketplace, including our ability to differentiate our products on the basis of features or functionality derived from such technology. Furthermore, third parties may identify security vulnerabilities in our open-sourced code, which could expose us to cybersecurity risks or reputational harm. We may also become subject to increased scrutiny, criticism, or demands from the open-source community regarding our licensing practices, contribution policies, or other matters. There can be no assurance that the anticipated benefits of open sourcing will be realized or that the risks associated with this strategy will not materially and adversely affect our business, results of operations, financial condition, or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failure of third parties to meet their contractual, regulatory and other obligations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suppliers, distributors, vendors, outsourcing partners, consultants, alliance partners and other third parties to research, develop, manufacture and commercialize our products and manage certain parts of our business.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use of AI may result in reputational harm, legal liability, competitive risks, and regulatory concerns that could adversely affect our business, operating results,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use AI tools to support internal business operations, and we may in the future integrate AI into our products and services. Advanced generative AI tools, which may produce content indistinguishable from that generated by humans, are a relatively novel development, with benefits, risks, and liabilities still unknown. Recent decisions of certain governmental entities and courts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images,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our vendors or other third parties to train the AI tools that we use. There is ongoing litigation over whether the use of copyrighted materials to train certain third-party AI models is lawful, and the impact of decisions in such litigation on our use of generative AI tools is unknown. Furthermore, our vendors who use AI tools in their own offerings may not meet existing or rapidly evolving regulatory or industry standards, including with respect to the rights of others, privacy and data security. Additionally, our use of third-party generative AI tools to develop materials may expose us to greater risks than utilizing contracted human developers, as third-party vendors of generative AI tools typically do not provide warranties with respect to the output generated by such generative AI tools, and generative AI tools may also hallucinate, providing output that appears correct but is erroneous. Furthermore, some generative AI tools may be offered under terms that do not protect the confidentiality of the prompts or inputs that users submit to such tools and may use prompts or inputs to train shared AI models, potentially resulting in third-party users receiving outputs containing information from prompts or inputs (including confidential, competitive, proprietary, or personal data) that we submitted to the tool. </w:t>
      </w:r>
    </w:p>
    <w:p>
      <w:pPr>
        <w:pStyle w:val="TextBody"/>
        <w:bidi w:val="0"/>
        <w:spacing w:before="240" w:after="0"/>
        <w:jc w:val="left"/>
        <w:rPr>
          <w:rFonts w:ascii="Times New Roman" w:hAnsi="Times New Roman"/>
          <w:sz w:val="20"/>
        </w:rPr>
      </w:pPr>
      <w:r>
        <w:rPr>
          <w:rFonts w:ascii="Times New Roman" w:hAnsi="Times New Roman"/>
          <w:sz w:val="20"/>
        </w:rPr>
        <w:t xml:space="preserve">Our use of AI tools may inadvertently violate a third-party’s rights, be non-compliant with the applicable terms of use or our other legal obligations, or result in a security or privacy risk or data leakage. Our use of AI tools could also result in additional compliance costs, regulatory investigations and actions, and lawsuits. For example, we may face new or enhanced governmental scrutiny, or claims from third parties claiming infringement of their intellectual property rights. Any of these claims could result in legal investigations or proceedings. Our use of generative AI tools to generate code may also present additional security risks because the generated source code may contain security vulnerabilities. Additionally, any of these vendors of AI tools may fail to comply with their contractual obligations to us regarding the confidentiality or security of any data or other inputs provided to such vendor or outputs generated by their AI tools. Our sensitive information or that of our customers could be leaked, disclosed, or revealed as a result of or in connection with our employees’, personnel’s, or vendors’ use of third-party generative AI tools. </w:t>
      </w:r>
    </w:p>
    <w:p>
      <w:pPr>
        <w:pStyle w:val="TextBody"/>
        <w:bidi w:val="0"/>
        <w:spacing w:before="240" w:after="0"/>
        <w:jc w:val="left"/>
        <w:rPr>
          <w:rFonts w:ascii="Times New Roman" w:hAnsi="Times New Roman"/>
          <w:sz w:val="20"/>
        </w:rPr>
      </w:pPr>
      <w:r>
        <w:rPr>
          <w:rFonts w:ascii="Times New Roman" w:hAnsi="Times New Roman"/>
          <w:sz w:val="20"/>
        </w:rPr>
        <w:t xml:space="preserve">Jurisdictions around the world are developing and passing new regulations that apply specifically to the use of AI. For example, the U.S. AI regulatory framework remains in development and has been introduced at the federal level through executive orders and legislation has been introduced and enacted at the state level. </w:t>
      </w:r>
    </w:p>
    <w:p>
      <w:pPr>
        <w:pStyle w:val="TextBody"/>
        <w:bidi w:val="0"/>
        <w:spacing w:before="240" w:after="0"/>
        <w:jc w:val="left"/>
        <w:rPr>
          <w:rFonts w:ascii="Times New Roman" w:hAnsi="Times New Roman"/>
          <w:sz w:val="20"/>
        </w:rPr>
      </w:pPr>
      <w:r>
        <w:rPr>
          <w:rFonts w:ascii="Times New Roman" w:hAnsi="Times New Roman"/>
          <w:sz w:val="20"/>
        </w:rPr>
        <w:t xml:space="preserve">Additionally, obligations under the EU AI Act have gone into effect and will continue to be implemented in phases through 2030, and other jurisdictions have passed or are considering similarly focused legislation. Some of our operations are subject to the EU AI Act and depending on how the EU AI Act is implemented and interpreted, we may have to adapt our business practices, contractual arrangements and services to comply with such obligations. Non-compliant companies under the EU AI Act may be subject to administrative fines. Additionally, existing laws and regulations may be interpreted in ways that would affect our use of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these risks could be difficult to eliminate or manage, and, if not addressed, could adversely affect our business, financial condition, operating results, and growth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Tax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tax laws or regulations that are applied adversely to us may have a material adverse effect on our business, cash flow,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tax treatment is subject to changes in tax laws, regulations and treaties, or the interpretation thereof, as well as tax policy initiatives and reforms under consideration and the practices of tax authorities in jurisdictions in which we operate. Such changes may include (but are not limited to) the taxation of operating income, investment income, dividends received or, in the specific context of withholding tax, dividends paid.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has proposed or adopted legislative measures that may affect groups operating in or through EU Member States. The Council Directive (EU) 2025/50 of 10 December 2024 on faster and safer relief of excess withholding taxes (the “FASTER directive”) introduces new withholding tax relief procedures and digital residence certificates, with expedited refund mechanisms potentially restricted in higher-risk scenarios, while the proposed Council Directive on Business in Europe: Framework for Income Taxation (the “BEFIT”) would introduce a common corporate tax base for groups with results aggregated and reallocated among Member States under a transitional formula. Based on our current understanding of the proposed minimum revenue thresholds, we currently expect to be outside the scope of the BEFIT rules, but could fall within their scope in the future, which could increase our tax obligations and compliance costs. The BEFIT remains subject to ongoing negotiation and transposition, and its final form may differ from current proposal. Implementation of these measures could increase our compliance costs, affect our effective tax rate, and require additional administrative resources. </w:t>
      </w:r>
    </w:p>
    <w:p>
      <w:pPr>
        <w:pStyle w:val="TextBody"/>
        <w:bidi w:val="0"/>
        <w:spacing w:before="240" w:after="0"/>
        <w:jc w:val="left"/>
        <w:rPr>
          <w:rFonts w:ascii="Times New Roman" w:hAnsi="Times New Roman"/>
          <w:sz w:val="20"/>
        </w:rPr>
      </w:pPr>
      <w:r>
        <w:rPr>
          <w:rFonts w:ascii="Times New Roman" w:hAnsi="Times New Roman"/>
          <w:sz w:val="20"/>
        </w:rPr>
        <w:t xml:space="preserve">Finland has enacted, and is expected to continue to enact, amendments to the Act on Excise Duty on Electricity and Certain Fuels (1260/1996), which governs the taxation of electricity consumed in Finland. The specific data center provisions under Section 4a of the Act have been repealed with effect from 1 July 2026, pursuant to legislation enacted on 22 December 2025. The difference between category I and category II rates constitutes state aid subject to EU state aid rules under the General Block Exemption Regulation (Commission Regulation (EU) No 651/2014). Based on our current understanding of the eligibility criteria and the applicable tax categories, we currently expect some of our operations to possibly qualify for the reduced category II electricity tax rate (until the amendment enters into force), but changes in applicable legislation, EU state aid rules, or in our operational profile (including energy efficiency metrics) could affect this assessment in the future, which could increase our electricity tax obligations and compliance costs. </w:t>
      </w:r>
    </w:p>
    <w:p>
      <w:pPr>
        <w:pStyle w:val="TextBody"/>
        <w:bidi w:val="0"/>
        <w:spacing w:before="240" w:after="0"/>
        <w:jc w:val="left"/>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which could affect the tax treatment of our domestic and foreign earnings. In the United States, on July 4, 2025, the One Big Beautiful Bill Act (the “OBBBA”) was signed into law, introducing significant changes to U.S. federal tax law. The OBBBA includes a broad range of changes to existing U.S. tax law, including but not limited to the reinstatement of current expensing of domestic research and development costs and one hundred percent bonus depreciation for certain qualified business property. Any new taxes could adversely affect our domestic and international business operations, and our business and financial performance. Further, existing tax laws, statutes, rules, regulations or ordinances could be interpreted, changed, modified or applied adversely to us.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tax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were to qualify as a passive foreign investment company, it could result in adverse U.S. tax consequences to certain U.S. holders of IQM Shares. </w:t>
      </w:r>
    </w:p>
    <w:p>
      <w:pPr>
        <w:pStyle w:val="TextBody"/>
        <w:bidi w:val="0"/>
        <w:spacing w:before="120" w:after="0"/>
        <w:jc w:val="left"/>
        <w:rPr>
          <w:rFonts w:ascii="Times New Roman" w:hAnsi="Times New Roman"/>
          <w:sz w:val="20"/>
        </w:rPr>
      </w:pPr>
      <w:r>
        <w:rPr>
          <w:rFonts w:ascii="Times New Roman" w:hAnsi="Times New Roman"/>
          <w:sz w:val="20"/>
        </w:rPr>
        <w:t xml:space="preserve">A non-U.S. corporation will be classified as a passive foreign investment company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we will be treated as owning a proportionate share of the assets and earning a proportionate share of the income of any other corporation in which such entity owns, directly or indirectly, at least 25% (by value) of the stock.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composition of our income and assets, we believe that we were not classified as a PFIC for the taxable year ended December 31, 2025. However, no assurances can be given that we will not be classified as a PFIC for any taxable year because the determination of PFIC status for any taxable year is a fact intensive determination made annually that depends, in part, upon the composition and classification of our income and assets. Fluctuations in the market price of the IQM ADSs could cause us to be or become classified as a PFIC for the current or future taxable years because the value of any assets for purposes of the asset test, including the value of any goodwill, may be determined by reference to the market price of the IQM ADSs. If our market capitalization subsequently declines, we may be or become classified as a PFIC for the current taxable year or future taxable years. Furthermore, the law applicable to determinations of PFIC status is complex, uncertain and subject to varying interpretation, and the IRS may not agree with the PFIC determinations that we make or have made and their application of the PFIC rules. Even if we determine that we are not (or were not) a PFIC for a particular tax year, the IRS is not bound by that determination and could take a different view. In light of the foregoing, our U.S. counsel expresses no opinion with respect to our PFIC status for any prior, current or future taxable year. </w:t>
      </w:r>
    </w:p>
    <w:p>
      <w:pPr>
        <w:pStyle w:val="TextBody"/>
        <w:bidi w:val="0"/>
        <w:spacing w:before="240" w:after="0"/>
        <w:jc w:val="left"/>
        <w:rPr>
          <w:rFonts w:ascii="Times New Roman" w:hAnsi="Times New Roman"/>
          <w:sz w:val="20"/>
        </w:rPr>
      </w:pPr>
      <w:r>
        <w:rPr>
          <w:rFonts w:ascii="Times New Roman" w:hAnsi="Times New Roman"/>
          <w:sz w:val="20"/>
        </w:rPr>
        <w:t>If we are classified as a PFIC for any year during which a U.S. holder holds IQM Shares or the IQM ADSs, we would typically continue to be treated as a PFIC for all succeeding years during which such U.S. holder holds such shares. See “</w:t>
      </w:r>
      <w:r>
        <w:rPr>
          <w:rFonts w:ascii="Times New Roman" w:hAnsi="Times New Roman"/>
          <w:i/>
          <w:sz w:val="20"/>
        </w:rPr>
        <w:t>Taxation — Certain Material U.S. Federal Income Tax Considerations for U.S. Holders — Ownership and Disposition of IQM Securities by U.S. Holders — Passive Foreign Investment Company Rules</w:t>
      </w:r>
      <w:r>
        <w:rPr>
          <w:rFonts w:ascii="Times New Roman" w:hAnsi="Times New Roman"/>
          <w:sz w:val="20"/>
        </w:rPr>
        <w:t xml:space="preserve">” for a further discussion of the PFIC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authorities may disagree with our positions and conclusions regarding certain tax positions, resulting in unanticipated costs, taxes or non-realization of expected benefits. </w:t>
      </w:r>
    </w:p>
    <w:p>
      <w:pPr>
        <w:pStyle w:val="TextBody"/>
        <w:bidi w:val="0"/>
        <w:spacing w:before="120" w:after="0"/>
        <w:jc w:val="left"/>
        <w:rPr>
          <w:rFonts w:ascii="Times New Roman" w:hAnsi="Times New Roman"/>
          <w:sz w:val="20"/>
        </w:rPr>
      </w:pPr>
      <w:r>
        <w:rPr>
          <w:rFonts w:ascii="Times New Roman" w:hAnsi="Times New Roman"/>
          <w:sz w:val="20"/>
        </w:rPr>
        <w:t xml:space="preserve">The amount of taxes we pay in different jurisdictions depends on the application of the tax laws of various jurisdictions, including Finland and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Contesting such a challenge or disagreement could be costly and if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non-Finnish shareholders are required to provide detailed information to obtain advantageous withholding tax treatment for dividends.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more detail under the section titled “ </w:t>
      </w:r>
      <w:r>
        <w:rPr>
          <w:rFonts w:ascii="Times New Roman" w:hAnsi="Times New Roman"/>
          <w:i/>
          <w:sz w:val="20"/>
        </w:rPr>
        <w:t>Material Tax Considerations — Certain Material Finnish Tax Considerations</w:t>
      </w:r>
      <w:r>
        <w:rPr>
          <w:rFonts w:ascii="Times New Roman" w:hAnsi="Times New Roman"/>
          <w:sz w:val="20"/>
        </w:rPr>
        <w:t xml:space="preserve">,” Our non-Finnish shareholders are required to provide certain information in order to benefit from the reduced dividend withholding tax rates set out in the applicable tax treaties. Furthermore, custodians are required to fulfill certain strict requirements, take over certain responsibilities and assume liability for incorrectly applied withholding tax, or a higher withholding tax rate will apply. Such requirements will likely impose an additional administrative burden on shareholders or result in the higher withholding rate becoming applicable for non-Finnish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is a general risk that Finnish tax legislation, applicable tax treaties or the interpretation thereof may change in a manner that adversely affects the tax treatment of dividends received by non-resident shareholders. The benefits available under Finland’s bilateral tax treaties may be affected by renegotiation, termination or amendment of those treaties, or by changes to the OECD Model Tax Convention or its Commentary on the basis of which Finland’s tax treaties are interpreted. Further, ongoing EU and OECD-level initiatives aimed at strengthening dividend withholding tax compliance and enforcement may result in further legislative action imposing additional requirements on non-resident shareholders or their custodians, and there can be no assurance that applicable tax laws, tax treaties or tax practice will not change in a manner that adversely affects non-resident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Being a Public Company, Ownership of Our Securities and Other General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the IQM ADSs or IQM Warrants may be volatile, which could cause the value of your investment to decline.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the IQM ADSs or IQM Warrants, you may not be able to resell those ADSs or public warrants at or above the price you paid. The market price of the IQM ADSs or IQM Warrants may be highly volatile and may fluctuate or decline significantly in response to numerous factors, some of which are beyond our control. It is possible that an active trading market will not be sustained. The securities markets have experienced and continue to experience significant volatility. Market volatility, as well as general economic, market or political conditions, could reduce the market price of the IQM ADSs or IQM Warrants regardless of our operating performance. Our operating results could be below the expectations of public market analysts and investors due to a number of potential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quarterly operating results or dividends, if any, to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rumors and market speculation involving us or other companies in our industry, which may include short seller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government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laws or regulations or differing interpretations or enforcement of laws or regulations affecting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market reaction to any indebtedness incurred or securities issued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significant contracts, acquisitions, dispositions,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geopolitical events such as the military conflicts in Ukraine, the Middle East and other areas of the world;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of the foregoing on our management, employees, partners, customers, and operating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Broad market and industry factors may materially harm the market price of our securities irrespective of our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the price of the IQM ADSs or IQM Warrants regardless of our business, prospects, financial conditions or results of operations. A decline in the market price of our securities also could adversely affect our ability to issue additional securities and our ability to obtain additional financing in the future. In the past, companies who have experienced volatility in the market price of their securities have been subject to securities class action litigation. If the market price of the IQM ADSs or IQM Warrants is volatile, we may be the target of this type of litigation in the future, which could result in substantial expenses and divert our management’s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team has limited experience in operating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results of operations and financial condition. We have and we may be required to continue to expand our employee base and hire additional employees to support our operations as a public company, which will increase our operating costs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We may identify additional material weaknesses in our internal controls over financial reporting which we may not be able to remedy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Neither our management nor an independent registered public accounting firm has ever performed an evaluation of our internal controls over financial reporting in accordance with the provisions of the Sarbanes-Oxley Act of 2002 (“Sarbanes-Oxley Act”) because no such evaluation has been required. We will not be required, pursuant to Section 404 of the Sarbanes-Oxley Act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A material weakness is a deficiency, or combination of deficiencies, in internal controls over financial reporting, such that there is a reasonable possibility that a material misstatement of the annual or interim financial statements will not be prevented or detected on a timely basis.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During the evaluation and testing process of our internal controls, if we identify one or more material weaknesses in our internal control over financial reporting in the future, we will be unable to certify that our internal control over financial reporting is effective. </w:t>
      </w:r>
    </w:p>
    <w:p>
      <w:pPr>
        <w:pStyle w:val="TextBody"/>
        <w:bidi w:val="0"/>
        <w:spacing w:before="240" w:after="0"/>
        <w:jc w:val="left"/>
        <w:rPr>
          <w:rFonts w:ascii="Times New Roman" w:hAnsi="Times New Roman"/>
          <w:sz w:val="20"/>
        </w:rPr>
      </w:pPr>
      <w:r>
        <w:rPr>
          <w:rFonts w:ascii="Times New Roman" w:hAnsi="Times New Roman"/>
          <w:sz w:val="20"/>
        </w:rPr>
        <w:t xml:space="preserve">In the course of preparing our audited consolidated financial statements for the years ended December 31, 2025 and 2024, we identified material weaknesses in our internal controls over financial reporting. Specifically, the material weaknesses in our internal controls pertain to (i) the design and operating effectiveness of information technology general controls (“ITGCs”), including IT operations, user access, and change management, for information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relevant to the preparation of our consolidated financial statements, (ii) design and operating effectiveness of controls related to the financial reporting process, including lack of sufficient financial reporting and accounting personnel with knowledge of IFRS and SEC reporting requirements, and (iii) lack of segregation of duties in both business and IT processes. </w:t>
      </w:r>
    </w:p>
    <w:p>
      <w:pPr>
        <w:pStyle w:val="TextBody"/>
        <w:bidi w:val="0"/>
        <w:spacing w:before="240" w:after="0"/>
        <w:jc w:val="left"/>
        <w:rPr>
          <w:rFonts w:ascii="Times New Roman" w:hAnsi="Times New Roman"/>
          <w:sz w:val="20"/>
        </w:rPr>
      </w:pPr>
      <w:r>
        <w:rPr>
          <w:rFonts w:ascii="Times New Roman" w:hAnsi="Times New Roman"/>
          <w:sz w:val="20"/>
        </w:rPr>
        <w:t xml:space="preserve">We have initiated a remediation plan with respect to the identified material weakness described above. Those remediation measures are ongoing and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experienced IT staff to implement, formalize and strengthen our ITGCs;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additional finance and accounting staff with IFRS and SEC reporting qualifications and work experience to implement, formalize and strengthen key internal controls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defined policies for approval of transactions, access control and the segregation of duties.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measures we are taking to remediate the material weaknesses will be sufficient or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the IQM ADSs or IQM Warrants could decline. We could become subject to investigations by the Nasdaq, Nasdaq Helsinki, the SEC, the Finnish Financial Supervisory Authority (the “FIN-FSA”) or other regulatory authorities, which could require additional financial and management resources. </w:t>
      </w:r>
    </w:p>
    <w:p>
      <w:pPr>
        <w:pStyle w:val="TextBody"/>
        <w:bidi w:val="0"/>
        <w:spacing w:before="240" w:after="0"/>
        <w:jc w:val="left"/>
        <w:rPr>
          <w:rFonts w:ascii="Times New Roman" w:hAnsi="Times New Roman"/>
          <w:sz w:val="20"/>
        </w:rPr>
      </w:pPr>
      <w:r>
        <w:rPr>
          <w:rFonts w:ascii="Times New Roman" w:hAnsi="Times New Roman"/>
          <w:sz w:val="20"/>
        </w:rPr>
        <w:t xml:space="preserve">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The process of designing, implementing, and testing the internal controls over financial reporting required to comply with this obligation is time-consuming, costly, and complicated. There can be no assurance that the controls put in place will remain effective or that any additional controls needed will be designed and implemented timely to prevent material misstatements in our consolidated financial statements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Further, upon becoming a public company, significant resources and management oversight will be required. As a result, management’s attention may be diverted from other business concerns, which could harm our business, operating results, financial condition,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we are permitted, and we expect, to follow certain home country corporate governance instead of otherwise applicable Nasdaq requirements, and we will not be subject to certain U.S. securities laws including, but not limited to, U.S. proxy rules and the filing of certain 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in the SEC’s rules and regulations. As a foreign private issuer, we are permitted to follow certain home country corporate governance practices in lieu of Nasdaq’s corporate governance standards, provided that we disclose the requirements we are not following and describe the home country practices we are following. We intend to rely on exemptions for foreign private issuers and follow Finnish corporate governance practices in lieu of the Nasdaq corporate governance standards for domestic U.S. Companies. We may in the future elect to follow home country practices with regard to other matters. As a result, our corporate governance practices may differ in significant respects from the corporate governance requirements applicable to U.S. companies listed on the Nasdaq, and our shareholders will not have the same protections afforded to shareholders of companies that are subject to all of the Nasdaq corporate governance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as a foreign private issuer, we are not subject to all of the disclosure requirements applicable to companies organized within the United States. For example, we are exempt from the rules and regulations under the Exchange Act related to the furnishing and content of proxy statements, including the applicable compensation disclosure requirements. Our officers, directors and principal shareholders are also exempt from the short-swing profit recovery provisions contained in Section 16 of the Exchange Act.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adopted a corporate disclosure policy substantially similar to Regulation FD. These exemptions and leniencies reduce the frequency and scope of information and protections to which you may otherwise have been eligible in relation to a U.S. domestic issuer. </w:t>
      </w:r>
      <w:r>
        <w:rPr>
          <w:rFonts w:ascii="Times New Roman" w:hAnsi="Times New Roman"/>
          <w:i/>
          <w:sz w:val="20"/>
        </w:rPr>
        <w:t xml:space="preserve">We are an “emerging </w:t>
      </w:r>
      <w:r>
        <w:rPr>
          <w:rFonts w:ascii="Times New Roman" w:hAnsi="Times New Roman"/>
          <w:sz w:val="20"/>
        </w:rPr>
        <w:t xml:space="preserve">growth company” under the JOBS Act and will be able to avail ourselves of reduced disclosure requirements applicable to emerging growth companies, which could make the IQM ADSs less attractive to investors.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JOBS Act, and we intend to take advantage of certain exemptions from various reporting requirements that are applicable to other public companies that are not “emerging growth companies”, including the auditor attestation requirements of Section 404(b) of the Sarbanes-Oxley Act and, to the extent we no longer qualify as a foreign private issuer pursuant to which standards we are not required to provide detailed compensation disclosures or file proxy statements,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reporting exemptions until we are no longer an emerging growth company. We will remain an emerging growth company until the earliest of (1) the last day of the fiscal year in which we have total annual gross revenue of $1.235 billion or more; (2) the last day of our fiscal year following the fifth anniversary of the date of the completion of the offering; (3) the date on which we have issued more than $1.0 billion in nonconvertible debt during the previous three years; and (4) the date on which we are deemed to be a large accelerated filer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if investors will find the IQM ADSs less attractive because we may rely on these exemptions. If some investors find the IQM ADSs less attractive as a result, there may be a less active trading market for the IQM ADSs and the price of the IQM ADSs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substantial costs as a result of operating as a public company, and our management will continue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dual-listed public company, we will incur substantial legal, accounting, and other expenses that we did not incur as a private company. For example, we will be subject to the reporting requirements of the Exchange Act, the applicable requirements of the Sarbanes-Oxley Act, the Dodd-Frank Wall Street Reform and Consumer Protection Act, the rules and regulations of the SEC and the listing standards of Nasdaq. We will also incur additional expenses in connection with our planned dual-listing on Nasdaq Helsinki. As a company listed on Nasdaq Helsinki, we will be subject to reporting requirements under the stock exchange rules and various EU regulations. This includes, but is not limited to, Regulation (EU) No 596/2014 of the European Parliament and of the Council of 16 April 2014, on market abuse (“MAR”) and the Directive 2004/109/EC of the European Parliament and of the Council of 15 December 2004 on the harmonization of transparency requirements in relation to information about issuers whose securities are admitted to trading on a regulated market. The foregoing regulations impose obligations relating to, among other things, the disclosure of inside information, the publication of financial reports and the reporting of corporate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the disclosure of information in this prospectus and in filings required of a public company, our business and financial condition are more visible, which may result in threatened or actual litigation, including by competitors.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team may not successfully or efficiently manage the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the business,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cash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Finnish Companies Act, the payment of dividend or repayment of capital and their amounts are resolved by the general meeting of shareholders in accordance with the proposal made by our board of directors. Additionally, under the Finnish Companies Act the distribution of dividends is not permitted if it would jeopardize the company’s solvency. We currently intend to retain future earnings, if any, to finance the further development and expansion of our business and do not intend to pay cash dividends or distribute other unrestricted equity in the foreseeable future. Any future determination to pay dividends or distribute other unrestricted equity will also depend on our financial condition, results of operations, capital requirements, restrictions contained in future agreements and financing instruments, business prospects and such other factors as our board of directors deems relevant.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issue additional IQM Shares, IQM ADSs, IQM Warrants or other equity securities without your approval, which would dilute your ownership interests and may depress the market price of the IQM ADSs and IQM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we had warrants outstanding to issue an aggregate of 12,530,975 IQM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employee benefit plans, we may issue an aggregate of up to 19,056,614 IQM Shares, which amount may be subject to increase from time to time. We may also issue additional IQM Shares or other equity securities of equal or senior rank in the future in connection with, among other things, future acquisitions or repayment of outstanding indebtedness, without shareholder approval, in a number of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additional shares or other equity securities of equal or senior rank would have the following effects: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shareholders or IQM ADS or IQM Warrant holders’ proportionate ownership interest in us will decrease;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available per share, including for payment of dividends, if any, may decrease;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voting strength of each previously outstanding ordinary share may be diminished;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IQM ADSs and IQM Warrants may decline.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price which we deem appropriate. Resales of our securities may cause the market price of our securities to drop significantly, even if our business is doing well.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be able to exercise your right to vote the IQM Share underlying your IQM ADS. </w:t>
      </w:r>
    </w:p>
    <w:p>
      <w:pPr>
        <w:pStyle w:val="TextBody"/>
        <w:bidi w:val="0"/>
        <w:spacing w:before="120" w:after="0"/>
        <w:jc w:val="left"/>
        <w:rPr>
          <w:rFonts w:ascii="Times New Roman" w:hAnsi="Times New Roman"/>
          <w:sz w:val="20"/>
        </w:rPr>
      </w:pPr>
      <w:r>
        <w:rPr>
          <w:rFonts w:ascii="Times New Roman" w:hAnsi="Times New Roman"/>
          <w:sz w:val="20"/>
        </w:rPr>
        <w:t xml:space="preserve">Holders of IQM ADSs may exercise voting rights with respect to the IQM Shares represented by the IQM ADSs only in accordance with the provisions of the deposit agreement. The deposit agreement provides that, if we instruct the depositary to ask for your voting instructions, upon receipt of notice of any meeting of holders of IQM Shares, the depositary will fix a record date for the determination of IQM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IQM ADSs may instruct the depositary of their IQM ADSs to vote the IQM Shares underlying their IQM ADSs. Otherwise, purchasers of IQM ADSs will not be able to exercise voting rights unless they withdraw the IQM shares underlying the IQM ADSs they hold. However, a holder of IQM ADSs may not know about the meeting far enough in advance to withdraw those IQM Shares. Under the Deposit Agreement, if an IQM ADS holder does not vote, the depositary may give us a discretionary proxy to vote the IQM Shares underlying the IQM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 The effect of this discretionary proxy is that you cannot prevent the underlying IQM Shares represented by the IQM ADSs from being voted, except under the circumstances described above. This may make it more difficult for IQM ADS holders to influence the management of the company. Holders of IQM Shares are not subject to this discretionary proxy. In addition, the depositary and its agents are not responsible for failing to carry out voting instructions or for the manner of carrying out voting instructions. This means that a holder of IQM ADSs may not be able to exercise his or her right to vote, and there may be nothing he or she can do if the IQM Shares underlying his or her IQM ADSs are not voted as he or she requested.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of IQM ADSs are not holders of IQM Shares.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IQM ADSs will not be treated as one of our shareholders and will not have direct shareholder rights. Finnish law, especially the Finnish Companies Act, governs our shareholder rights, e.g., the right to vote in our general meeting. The depositary will be the holder of the IQM Shares underlying IQM ADSs held by purchasers of IQM ADSs. Purchasers of IQM ADSs will have IQM ADS holder rights. The deposit agreement among us, the depositary and IQM ADS owners and holder, sets out IQM ADS holder rights, as well as the rights and obligations of the depositary. As a result, the rights of holders of IQM ADSs may differ materially from the rights of holders of IQM Shares, which could have a material adverse effect on the value of an investment in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right as a holder of IQM ADSs or as a foreign shareholder to participate in any future preferential subscription rights or to elect to receive dividends in shares may be limited, which may cause dilution to the holdings of purchasers of IQM ADSs or to the holdings of foreign shareholders.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Companies Act, if we issue additional securities for cash, current shareholders will have preferential subscription rights for these securities on a </w:t>
      </w:r>
      <w:r>
        <w:rPr>
          <w:rFonts w:ascii="Times New Roman" w:hAnsi="Times New Roman"/>
          <w:i/>
          <w:sz w:val="20"/>
        </w:rPr>
        <w:t xml:space="preserve">pro rata </w:t>
      </w:r>
      <w:r>
        <w:rPr>
          <w:rFonts w:ascii="Times New Roman" w:hAnsi="Times New Roman"/>
          <w:sz w:val="20"/>
        </w:rPr>
        <w:t xml:space="preserve">basis. However, a general meeting of shareholders may vote, by a majority which represents at least two-thirds of the votes cast and two-thirds of the shares represented at the meeting, to waive this pre-emptive right provided that, from the company’s perspective, there is a weighty financial reason for the waiver. IQM ADS holders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IQM ADSs unless the distribution to IQM ADS holders of both the rights and any related securities are either registered under the Securities Act or exempted from registration under the Securities Act. Further, if we offer holders of IQM Shares the option to receive dividends in either cash or shares, under the deposit agreement the depositary may require satisfactory assurances from us that extending the offer to holders of IQM ADSs does not require registration of any securities under the Securities Act before making the option available to holders of IQM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IQM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 </w:t>
      </w:r>
    </w:p>
    <w:p>
      <w:pPr>
        <w:pStyle w:val="TextBody"/>
        <w:bidi w:val="0"/>
        <w:spacing w:before="240" w:after="0"/>
        <w:jc w:val="left"/>
        <w:rPr>
          <w:rFonts w:ascii="Times New Roman" w:hAnsi="Times New Roman"/>
          <w:sz w:val="20"/>
        </w:rPr>
      </w:pPr>
      <w:r>
        <w:rPr>
          <w:rFonts w:ascii="Times New Roman" w:hAnsi="Times New Roman"/>
          <w:sz w:val="20"/>
        </w:rPr>
        <w:t xml:space="preserve">Furthermore, certain of our shareholders who reside or will reside or whose registered address is in certain countries outside Finland may not necessarily be able to exercise their pre-emptive subscription rights in possible future share issues, unless the shares have been registered according to the securities legislation in effect in the relevant country or in another corresponding way or the applicable legislation offers an exception from registration or other similar requirement. This may dilute such shareholders’ ownership.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of IQM ADSs may be subject to limitations on the transfer of IQM ADSs and the withdrawal of the underlying IQM Shares. </w:t>
      </w:r>
    </w:p>
    <w:p>
      <w:pPr>
        <w:pStyle w:val="TextBody"/>
        <w:bidi w:val="0"/>
        <w:spacing w:before="120" w:after="0"/>
        <w:jc w:val="left"/>
        <w:rPr>
          <w:rFonts w:ascii="Times New Roman" w:hAnsi="Times New Roman"/>
          <w:sz w:val="20"/>
        </w:rPr>
      </w:pPr>
      <w:r>
        <w:rPr>
          <w:rFonts w:ascii="Times New Roman" w:hAnsi="Times New Roman"/>
          <w:sz w:val="20"/>
        </w:rPr>
        <w:t>IQM ADSs are transferable on the books of the depositary. However, the depositary may also refuse to deliver, transfer or register transfers of IQM ADSs under any provision of the deposit agreement, or for any other reason, subject to the right to cancel IQM ADSs and withdraw the underlying IQM Shares. The depositary may close its books at any time or from time to time when it deems expedient in connection with the performance of its duties. The depositary may close its books from time to time for a number of reasons, including in connection with corporate action events such as a rights offering. The depositary may also close its books in emergencies, and on weekends and public holidays. The depositary may refuse to deliver, transfer or register transfers of the IQM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 In addition, a holder of IQM ADSs may not be able to cancel his or her IQM ADSs and withdraw the underlying IQM Shares when he or she owes money for fees, taxes and similar charges and when it is necessary to prohibit withdrawals in order to comply with any laws or governmental regulations that apply to IQM ADSs or to the withdrawal of ordinary shares or other deposited securities. See the section of this prospectus titled “</w:t>
      </w:r>
      <w:r>
        <w:rPr>
          <w:rFonts w:ascii="Times New Roman" w:hAnsi="Times New Roman"/>
          <w:i/>
          <w:sz w:val="20"/>
        </w:rPr>
        <w:t>Description of American Depositary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IQM ADSs holders may not be entitled to a jury trial with respect to claims arising under the deposit agreement, which could result in less favorable outcomes to the plaintiffs in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governing the IQM ADSs representing the IQM Shares provides that, to the fullest extent permitted by law, IQM ADS holders waive the right to a jury trial of any claim they may have against us or the depositary arising out of or relating to the IQM Shares, the IQM ADSs or the deposit agreement, including any claim under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IQM ADSs. It is advisable that you consult legal counsel regarding the jury waiver provision before entering into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or any other holders or beneficial owners of IQM ADSs bring a claim against us or the depositary in connection with matters arising under the deposit agreement or the IQM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Nevertheless, if this jury trial waiver provision is not permitted by applicable law, an action could proceed under the terms of the deposit agreement with a jury trial. No condition, stipulation or provision of the deposit agreement or IQM ADSs serves as a waiver by any holder or beneficial owner of IQM ADSs or by us or the depositary of compliance with U.S. federal securities laws and the rules and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Organization under the Laws of Finland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rights of shareholders in companies subject to Finnish corporate law differ in material respects from the rights of shareholders of corporations incorporated in the United States. </w:t>
      </w:r>
    </w:p>
    <w:p>
      <w:pPr>
        <w:pStyle w:val="TextBody"/>
        <w:bidi w:val="0"/>
        <w:spacing w:before="120" w:after="0"/>
        <w:jc w:val="left"/>
        <w:rPr>
          <w:rFonts w:ascii="Times New Roman" w:hAnsi="Times New Roman"/>
          <w:sz w:val="20"/>
        </w:rPr>
      </w:pPr>
      <w:r>
        <w:rPr>
          <w:rFonts w:ascii="Times New Roman" w:hAnsi="Times New Roman"/>
          <w:sz w:val="20"/>
        </w:rPr>
        <w:t>We are a Finnish company with limited liability. Our corporate affairs after the Business Combination will be governed by the Amended IQM Articles and by the laws governing companies incorporated in Finland, including Finnish Companies Act. The rights of shareholders and the responsibilities of members of our board of directors are in many ways different from the rights and obligations of shareholders in companies governed by the laws of U.S. jurisdictions. For example, in the performance of its duties, our board of directors is required by Finnish law to act with due care and promote the interest of the company, rather than solely our shareholders and/or creditors. A director does not represent the interests of the parties who have proposed his or her election as director. It is possible that some of these parties will have interests that are different from, or in addition to, your interests as a shareholder or holder of ADSs. See the sections of this prospectus titled “</w:t>
      </w:r>
      <w:r>
        <w:rPr>
          <w:rFonts w:ascii="Times New Roman" w:hAnsi="Times New Roman"/>
          <w:i/>
          <w:sz w:val="20"/>
        </w:rPr>
        <w:t>Management</w:t>
      </w:r>
      <w:r>
        <w:rPr>
          <w:rFonts w:ascii="Times New Roman" w:hAnsi="Times New Roman"/>
          <w:sz w:val="20"/>
        </w:rPr>
        <w:t>” and “</w:t>
      </w:r>
      <w:r>
        <w:rPr>
          <w:rFonts w:ascii="Times New Roman" w:hAnsi="Times New Roman"/>
          <w:i/>
          <w:sz w:val="20"/>
        </w:rPr>
        <w:t>Description of Share Capital and Articles of Association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foreign shareholders may not be able to exercise their pre-emptive subscription rights in the future share offerings.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legislation, shareholders have certain pre-emptive subscription rights pro rata to their shareholdings, when we issue new shares or securities entitling subscription for new shares. Certain of our shareholders who reside or will reside or whose registered address is in certain countries outside Finland may not necessarily be able to exercise their pre-emptive subscription rights in possible future share issues, unless the shares have been registered according to the securities legislation in effect in the relevant country or in another corresponding way or the applicable legislation offers an exception from registration or other similar requirement. This may dilute such shareholders’ ownership in us. Furthermore, if the number of shareholders who cannot exercise their subscription rights is large and their subscription rights are sold on the market, this may have an adverse effect on the price of the subscription rights. In addition, the legislation of the relevant country may limit the right of a foreign shareholder to receive information on share issues and other important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investors may have difficulty enforcing civil liabilities against our company and directors and senior management and the experts named in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Certain members of our board of directors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Courts outside the United States may refuse to hear a U.S. securities law claim because non-U.S. courts may not be the most appropriate forums in which to bring such a claim. Even if a court outside the United States agrees to hear a claim, it may determine that the law of the jurisdiction in which the non-U.S.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non-U.S. court resides. In particular, there is some doubt as to whether Finnish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Finland. An award for monetary damages under the U.S. securities laws would be considered punitive if it does not seek to compensate the claimant for loss or damage suffered but is intended to punish the defendant. Finnish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 </w:t>
      </w:r>
    </w:p>
    <w:p>
      <w:pPr>
        <w:pStyle w:val="TextBody"/>
        <w:bidi w:val="0"/>
        <w:spacing w:before="240" w:after="0"/>
        <w:jc w:val="left"/>
        <w:rPr>
          <w:rFonts w:ascii="Times New Roman" w:hAnsi="Times New Roman"/>
          <w:sz w:val="20"/>
        </w:rPr>
      </w:pPr>
      <w:r>
        <w:rPr>
          <w:rFonts w:ascii="Times New Roman" w:hAnsi="Times New Roman"/>
          <w:sz w:val="20"/>
        </w:rPr>
        <w:t>The enforceability of any judgment in Finland will depend on the particular facts of the case as well as the laws and treaties in effect at the time. The United States and Finland do not currently have a treaty providing for recognition and enforcement of judgments, other than arbitration awards, in civil and commercial matters. See “</w:t>
      </w:r>
      <w:r>
        <w:rPr>
          <w:rFonts w:ascii="Times New Roman" w:hAnsi="Times New Roman"/>
          <w:i/>
          <w:sz w:val="20"/>
        </w:rPr>
        <w:t>Enforcement of Civil Liabilities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face difficulties protecting your interests, and your ability to protect your rights through the U.S. federal courts may be limited because we are incorporated under the laws of Finland, substantially all of our assets are in the European Union and a majority of our directors and executive officers reside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Finland. A majority of our officers and directors reside outside the United States. In addition, a substantial portion of their assets and our assets are located outside of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As a result, you may have difficulty serving legal process within the United States upon us or any of these persons. You may also have difficulty enforcing, both in and outside of the United States, judgments you may obtain in U.S. courts against us or these persons in any action, including actions based upon the civil liability provisions of U.S. Federal or state securities laws. Furthermore, there is substantial doubt as to the enforceability in Finland against us or against any of our directors, officers and the expert named in this prospectus who are not residents of the United States, in original actions or in actions for enforcement of judgments of U.S. courts, of liabilities based solely upon the civil liability provisions of the U.S. federal securities laws. In addition, shareholders in Finnish corporations may not have standing to initiate a shareholder derivative action in U.S. federal courts.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public shareholders may have more difficulty in protecting their interests through actions against us, our management, our directors or our major shareholders than would shareholders of a corporation incorporated in a jurisdiction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 Finnish corporate law, certain measures are possible and permissible that may reduce the likelihood of a company becoming subject to a public tender offer and limit the ability of shareholders to take certain actions and could delay or discourage takeover attempts that shareholders may consider favorable.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certain measures are possible and permissible that may reduce the likelihood of a company becoming subject to a public tender offer. These may include provisions in the articles of association concerning, for example, the maximum number of votes that a shareholder can cast at a shareholders’ meeting, increased majority voting requirements for certain types of shareholder decisions, or a duty to make an offer to purchase outstanding shares at a price specified in the articles of association to all other shareholders upon exceeding a certain ownership threshold. In addition, the Finnish Securities Markets Act contains provisions requiring a mandatory tender offer for all outstanding shares of a company if a shareholder’s ownership exceeds certain thresholds. We have not currently adopted any specific provisions in our articles of association that may have the effect of making a takeover of us more difficult or less attractive but there is no guarantee that our shareholders will not adopt such provisions in the future which may delay or discourage a takeover attempt.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and potential investors in the IQM ADSs may have to request the prior authorization from Finnish authorities prior to acquiring a significant ownership position in the IQM Shares or IQM ADSs.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certain acquisitions of significant ownership interests in Finnish companies may be subject to regulatory review in order to safeguard critical national interests. If an existing or potential investor seeks to acquire more than one-tenth of the voting rights or equivalent influence in our company, such investor may be required to file an application for approval or submit a notification to the relevant Finnish authorities prior to completing the transaction. We cannot give assurances that any such approval will be granted or that the review process will be completed in a timely manner. As a result, the completion of such an acquisition could be materially delayed, and the relevant authorities may impose conditions on, or ultimately deny authorization for, the proposed transaction, which could adversely affect the ability of investors to acquire or increase their holdings in the IQM Shares or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36013_11"/>
      <w:bookmarkEnd w:id="13"/>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June 30,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historical basis for IQM Quantum Computers Oyj;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forma basis, after giving effect to the Business Combination, the PIPE Investment and adjustments for other material events (collectively, the “Transactions”). See “Unaudited Pro Forma Condensed Combined Financial Information” for information regarding the basis for the pro forma calculations, including the assumptions and adjustments in respect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table should be read in conjunction with the financial statements and notes thereto and other financial information included in this prospectus and any prospectus supplement and the information under “Management’s Discussion and Analysis of Financial Condition and Results of Operations.” Our historical results do not necessarily indicate our expected results for any future periods.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14"/>
        <w:gridCol w:w="332"/>
        <w:gridCol w:w="60"/>
        <w:gridCol w:w="947"/>
        <w:gridCol w:w="155"/>
        <w:gridCol w:w="332"/>
        <w:gridCol w:w="91"/>
        <w:gridCol w:w="1464"/>
        <w:gridCol w:w="160"/>
      </w:tblGrid>
      <w:tr>
        <w:trPr/>
        <w:tc>
          <w:tcPr>
            <w:tcW w:w="4214"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0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As of June 30, 2026 </w:t>
            </w:r>
          </w:p>
        </w:tc>
        <w:tc>
          <w:tcPr>
            <w:tcW w:w="160"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for</w:t>
              <w:br/>
              <w:t>Transactions</w:t>
            </w:r>
          </w:p>
        </w:tc>
        <w:tc>
          <w:tcPr>
            <w:tcW w:w="160"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049" w:type="dxa"/>
            <w:gridSpan w:val="6"/>
            <w:tcBorders/>
            <w:vAlign w:val="bottom"/>
          </w:tcPr>
          <w:p>
            <w:pPr>
              <w:pStyle w:val="TableContents"/>
              <w:bidi w:val="0"/>
              <w:spacing w:before="0" w:after="283"/>
              <w:jc w:val="center"/>
              <w:rPr>
                <w:b/>
                <w:i/>
              </w:rPr>
            </w:pPr>
            <w:r>
              <w:rPr>
                <w:b/>
                <w:i/>
              </w:rPr>
              <w:t>(EUR in thousands)</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113,424</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283,595</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b/>
                <w:sz w:val="20"/>
              </w:rPr>
            </w:pPr>
            <w:r>
              <w:rPr>
                <w:rFonts w:ascii="Times New Roman" w:hAnsi="Times New Roman"/>
                <w:b/>
                <w:sz w:val="20"/>
              </w:rPr>
              <w:t>Indebtedness</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14,970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14,969</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13,647</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13,647</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44,144</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indebtedness</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28,617</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72,760</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46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80</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489,522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818,545</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(307,141</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(494,321</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(39</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182,422</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324,265</w:t>
            </w:r>
          </w:p>
        </w:tc>
        <w:tc>
          <w:tcPr>
            <w:tcW w:w="160"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b/>
              </w:rPr>
            </w:pPr>
            <w:r>
              <w:rPr>
                <w:b/>
              </w:rPr>
              <w:t>211,039</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b/>
              </w:rPr>
            </w:pPr>
            <w:r>
              <w:rPr>
                <w:b/>
              </w:rPr>
              <w:t>397,025</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4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36013_12"/>
      <w:bookmarkEnd w:id="1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resale of the IQM Shares, including IQM Shares represented by IQM ADSs, offered by the Selling Securityholders pursuant to this prospectus. All net proceeds from the resale of the IQM Shares, including IQM Shares represented by IQM ADSs, covered by this prospectus will go to the Selling Securityholders for their respective accounts. </w:t>
      </w:r>
    </w:p>
    <w:p>
      <w:pPr>
        <w:pStyle w:val="TextBody"/>
        <w:bidi w:val="0"/>
        <w:spacing w:before="240" w:after="0"/>
        <w:jc w:val="left"/>
        <w:rPr>
          <w:rFonts w:ascii="Times New Roman" w:hAnsi="Times New Roman"/>
          <w:sz w:val="20"/>
        </w:rPr>
      </w:pPr>
      <w:r>
        <w:rPr>
          <w:rFonts w:ascii="Times New Roman" w:hAnsi="Times New Roman"/>
          <w:sz w:val="20"/>
        </w:rPr>
        <w:t xml:space="preserve">However, we will receive up to an aggregate of approximately $99.2 million and approximately $44.9 million from the exercise of the Public Warrants and the Private Placement Warrants, respectively, assuming the exercise in full of all such warrants for cash. We expect to use the net proceeds from the exercise of the IQM Warrants for general corporate purposes. We will have broad discretion over the use of proceeds from the exercise of the IQM Warrants. There is no assurance that the holders of the IQM Warrants will elect to exercise any or all of such warrants. The exercise price of our Public Warrants and Private Placement Warrants is $11.50 per share. We believe the likelihood that IQM warrantholders will exercise their IQM Warrants, and therefore the amount of cash proceeds that we would receive, is dependent upon the trading price of our IQM ADSs and IQM Shares. If the trading price is less than $11.50 per share, we believe holders of our Public Warrants and Private Placement Warrants will be unlikely to exercise their warrants. To the extent that the IQM Warrants are exercised on a “cashless basis,” the amount of cash we would receive from the exercise of the IQM Warrants will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6013_13"/>
      <w:bookmarkEnd w:id="1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share capital. We intend to retain our future earnings, if any, to finance the further development and expansion of our business and do not intend to pay cash dividends or make distributions in the foreseeable future. Any future determination to pay dividends or make distributions will be made at the discretion of our board of directors, subject to applicable laws, including the Finnish Companies Act. It will depend on a number of factors, including our financial condition, results of operations, capital requirements, contractual, legal, tax and regulatory restrictions, general business conditions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36013_14"/>
      <w:bookmarkEnd w:id="16"/>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have the same meaning as terms defined and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condensed combined statement of financial position and statement of profit and loss and accompanying notes present the historical financial information of RAAQ and IQM adjusted to give effect to the Business Combination, the PIPE Investment, and adjustments for other material events (referred to herein as the “Other Material Events”). The unaudited pro forma condensed combined statement of financial position and statement of profit and loss have been compiled in accordance with Article 11 of Regulation S-X and with the accounting policies applied by IQM in its consolidated financial statements prepared in accordance with IFRS Accounting Standards of the International Accounting Standards Board (IASB).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financial position as of June 30, 2026 has been prepared on the assumption that the Business Combination, the PIPE Investment and the Other Material Events occurred on June 30, 2026. The unaudited pro forma condensed combined statements of profit and loss for the year ended December 31, 2025 and for the six months ended June 30, 2026 has been prepared on the assumption that the Business Combination and the PIPE Investment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statement of financial position and statement of profit and loss are provided for illustrative purposes only and do not necessarily reflect what the combined company’s statement of financial position or statement of profit and loss would have been had the Business Combination and the PIPE Investment occurred on the dates indicated. Further, the unaudited pro forma condensed combined statement of financial position and statement of profit and loss also may not be useful in predicting the financial position and profit and loss of the combined entity. The actual financial position and profit and loss may differ significantly from the pro forma amounts reflected herein due to a variety of factors.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Related to the Unaudited Pro Forma Statement of Financial Position and Statement of Profit and Loss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information of IQM was derived from the unaudited consolidated financial statements of IQM as of the six months ended on June 30, 2026 and the audited consolidated financial statements of IQM as of December 31, 2025, which are included elsewhere in this Prospectus. This information should be read together with IQM’s consolidated financial statements and related notes and other financial information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financial information of RAAQ was derived from the audited financial statements of RAAQ as of and for the year ended December 31, 2025, which are included in RAAQ’s Annual Report on Form 10-K filed with the SEC on March 3, 2026. The historical financial information of RAAQ for the six months ended June 30, 2026 was derived from the unaudited financial statements of RAAQ, which are included in RAAQ’s interim financials included herein. This information should be read together with RAAQ’s financial statements and related notes and other financial information incorporated by reference into this Prospectus. The audited financial statements of RAAQ as of and for the year ended December 31, 2025 and for the six months ended June 30, 2026, have been prepared in accordance with U.S. GAAP in its presentation currency of the U.S. Dollar. The pro forma statement of financial position and statement of profit and loss reflects IFRS, the basis of accounting used by the accounting acquirer, IQM, and the historical financial information of RAAQ has been adjusted to give effect to the differences between U.S. GAAP and IFRS for the purposes of the pro forma statement of financial position and statement of profit and loss (see Note 3 – IFRS Policy and Presentation Alignment).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FINANCIAL POSITION AS OF JUNE 30, 2026 </w:t>
      </w:r>
    </w:p>
    <w:p>
      <w:pPr>
        <w:pStyle w:val="TextBody"/>
        <w:bidi w:val="0"/>
        <w:spacing w:before="0" w:after="0"/>
        <w:jc w:val="left"/>
        <w:rPr/>
      </w:pPr>
      <w:r>
        <w:rPr/>
        <w:t> </w:t>
      </w:r>
    </w:p>
    <w:tbl>
      <w:tblPr>
        <w:tblW w:w="11615" w:type="dxa"/>
        <w:jc w:val="center"/>
        <w:tblInd w:w="0" w:type="dxa"/>
        <w:tblLayout w:type="fixed"/>
        <w:tblCellMar>
          <w:top w:w="0" w:type="dxa"/>
          <w:left w:w="0" w:type="dxa"/>
          <w:bottom w:w="0" w:type="dxa"/>
          <w:right w:w="0" w:type="dxa"/>
        </w:tblCellMar>
      </w:tblPr>
      <w:tblGrid>
        <w:gridCol w:w="2585"/>
        <w:gridCol w:w="60"/>
        <w:gridCol w:w="98"/>
        <w:gridCol w:w="1437"/>
        <w:gridCol w:w="155"/>
        <w:gridCol w:w="60"/>
        <w:gridCol w:w="81"/>
        <w:gridCol w:w="1094"/>
        <w:gridCol w:w="155"/>
        <w:gridCol w:w="60"/>
        <w:gridCol w:w="590"/>
        <w:gridCol w:w="60"/>
        <w:gridCol w:w="79"/>
        <w:gridCol w:w="1066"/>
        <w:gridCol w:w="60"/>
        <w:gridCol w:w="60"/>
        <w:gridCol w:w="590"/>
        <w:gridCol w:w="60"/>
        <w:gridCol w:w="84"/>
        <w:gridCol w:w="1226"/>
        <w:gridCol w:w="155"/>
        <w:gridCol w:w="60"/>
        <w:gridCol w:w="590"/>
        <w:gridCol w:w="60"/>
        <w:gridCol w:w="60"/>
        <w:gridCol w:w="875"/>
        <w:gridCol w:w="155"/>
      </w:tblGrid>
      <w:tr>
        <w:trPr/>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for share data)</w:t>
            </w:r>
          </w:p>
        </w:tc>
        <w:tc>
          <w:tcPr>
            <w:tcW w:w="6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w:t>
              <w:br/>
              <w:t>Quantum</w:t>
              <w:br/>
              <w:t>Computers Plc</w:t>
              <w:br/>
              <w:t>Historical</w:t>
              <w:br/>
              <w:t>(IFRS)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br/>
              <w:t>(IFRS)</w:t>
            </w:r>
            <w:r>
              <w:rPr/>
              <w:br/>
            </w:r>
            <w:r>
              <w:rPr>
                <w:b/>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Pro</w:t>
              <w:br/>
              <w:t>Forma</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b/>
              </w:rPr>
              <w:t>Pro</w:t>
            </w:r>
            <w:r>
              <w:rPr/>
              <w:br/>
            </w:r>
            <w:r>
              <w:rPr>
                <w:b/>
              </w:rPr>
              <w:t>Forma</w:t>
              <w:br/>
              <w:t>Balance</w:t>
              <w:br/>
              <w:t>Sheet</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b/>
                <w:sz w:val="17"/>
              </w:rPr>
            </w:pPr>
            <w:r>
              <w:rPr>
                <w:rFonts w:ascii="Times New Roman" w:hAnsi="Times New Roman"/>
                <w:b/>
                <w:sz w:val="17"/>
              </w:rPr>
              <w:t>Non-current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Intangible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841</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Property, plant and equipment</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61,464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61,464</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Right-of-use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10,044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10,044</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Financial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1,281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1,281</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sz w:val="17"/>
              </w:rPr>
            </w:pPr>
            <w:r>
              <w:rPr>
                <w:rFonts w:ascii="Times New Roman" w:hAnsi="Times New Roman"/>
                <w:sz w:val="17"/>
              </w:rPr>
              <w:t>Marketable securities held in Trust Account</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158,072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(158,072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Long-term prepaid insurance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3,411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3,410</w:t>
            </w:r>
          </w:p>
        </w:tc>
        <w:tc>
          <w:tcPr>
            <w:tcW w:w="15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non-current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b/>
              </w:rPr>
            </w:pPr>
            <w:r>
              <w:rPr>
                <w:b/>
              </w:rPr>
              <w:t></w:t>
            </w:r>
          </w:p>
        </w:tc>
        <w:tc>
          <w:tcPr>
            <w:tcW w:w="1437" w:type="dxa"/>
            <w:tcBorders/>
            <w:shd w:fill="CCEEFF" w:val="clear"/>
            <w:vAlign w:val="bottom"/>
          </w:tcPr>
          <w:p>
            <w:pPr>
              <w:pStyle w:val="TableContents"/>
              <w:bidi w:val="0"/>
              <w:spacing w:before="0" w:after="283"/>
              <w:jc w:val="right"/>
              <w:rPr>
                <w:b/>
              </w:rPr>
            </w:pPr>
            <w:r>
              <w:rPr>
                <w:b/>
              </w:rPr>
              <w:t xml:space="preserve">73,630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158,071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pPr>
            <w:r>
              <w:rPr/>
              <w:t xml:space="preserv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(154,661</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77,040</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17"/>
              </w:rPr>
            </w:pPr>
            <w:r>
              <w:rPr>
                <w:rFonts w:ascii="Times New Roman" w:hAnsi="Times New Roman"/>
                <w:b/>
                <w:sz w:val="17"/>
              </w:rPr>
              <w:t>Current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Inventories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25,452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25,452</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Contract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8,291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8,291</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Trade receivables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12,200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12,200</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Other financial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5,457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5,457</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Other 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15,265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15,284</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Cash and cash equivalents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113,424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4(aa)</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122,422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4(aaa)</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91,697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283,595</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(3,513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(26,707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(6,583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4(m)</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Prepaid insurance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2,911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2,959</w:t>
            </w:r>
          </w:p>
        </w:tc>
        <w:tc>
          <w:tcPr>
            <w:tcW w:w="15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b/>
              </w:rPr>
            </w:pPr>
            <w:r>
              <w:rPr>
                <w:b/>
              </w:rPr>
              <w:t></w:t>
            </w:r>
          </w:p>
        </w:tc>
        <w:tc>
          <w:tcPr>
            <w:tcW w:w="1437" w:type="dxa"/>
            <w:tcBorders/>
            <w:shd w:fill="CCEEFF" w:val="clear"/>
            <w:vAlign w:val="bottom"/>
          </w:tcPr>
          <w:p>
            <w:pPr>
              <w:pStyle w:val="TableContents"/>
              <w:bidi w:val="0"/>
              <w:spacing w:before="0" w:after="283"/>
              <w:jc w:val="right"/>
              <w:rPr>
                <w:b/>
              </w:rPr>
            </w:pPr>
            <w:r>
              <w:rPr>
                <w:b/>
              </w:rPr>
              <w:t>180,089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 xml:space="preserve">125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b/>
              </w:rPr>
            </w:pPr>
            <w:r>
              <w:rPr>
                <w:b/>
              </w:rPr>
              <w:t>122,422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 xml:space="preserve">50,602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353,238</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17"/>
              </w:rPr>
            </w:pPr>
            <w:r>
              <w:rPr>
                <w:rFonts w:ascii="Times New Roman" w:hAnsi="Times New Roman"/>
                <w:b/>
                <w:sz w:val="17"/>
              </w:rPr>
              <w:t>Total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b/>
              </w:rPr>
            </w:pPr>
            <w:r>
              <w:rPr>
                <w:b/>
              </w:rPr>
              <w:t></w:t>
            </w:r>
          </w:p>
        </w:tc>
        <w:tc>
          <w:tcPr>
            <w:tcW w:w="1437" w:type="dxa"/>
            <w:tcBorders/>
            <w:vAlign w:val="bottom"/>
          </w:tcPr>
          <w:p>
            <w:pPr>
              <w:pStyle w:val="TableContents"/>
              <w:bidi w:val="0"/>
              <w:spacing w:before="0" w:after="283"/>
              <w:jc w:val="right"/>
              <w:rPr>
                <w:b/>
              </w:rPr>
            </w:pPr>
            <w:r>
              <w:rPr>
                <w:b/>
              </w:rPr>
              <w:t>253,719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b/>
              </w:rPr>
            </w:pPr>
            <w:r>
              <w:rPr>
                <w:b/>
              </w:rPr>
              <w:t></w:t>
            </w:r>
          </w:p>
        </w:tc>
        <w:tc>
          <w:tcPr>
            <w:tcW w:w="1094" w:type="dxa"/>
            <w:tcBorders/>
            <w:vAlign w:val="bottom"/>
          </w:tcPr>
          <w:p>
            <w:pPr>
              <w:pStyle w:val="TableContents"/>
              <w:bidi w:val="0"/>
              <w:spacing w:before="0" w:after="283"/>
              <w:jc w:val="right"/>
              <w:rPr>
                <w:b/>
              </w:rPr>
            </w:pPr>
            <w:r>
              <w:rPr>
                <w:b/>
              </w:rPr>
              <w:t>158,196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b/>
              </w:rPr>
            </w:pPr>
            <w:r>
              <w:rPr>
                <w:b/>
              </w:rPr>
              <w:t>122,422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26" w:type="dxa"/>
            <w:tcBorders/>
            <w:vAlign w:val="bottom"/>
          </w:tcPr>
          <w:p>
            <w:pPr>
              <w:pStyle w:val="TableContents"/>
              <w:bidi w:val="0"/>
              <w:spacing w:before="0" w:after="283"/>
              <w:jc w:val="right"/>
              <w:rPr>
                <w:b/>
              </w:rPr>
            </w:pPr>
            <w:r>
              <w:rPr>
                <w:b/>
              </w:rPr>
              <w:t>(104,059</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875" w:type="dxa"/>
            <w:tcBorders/>
            <w:vAlign w:val="bottom"/>
          </w:tcPr>
          <w:p>
            <w:pPr>
              <w:pStyle w:val="TableContents"/>
              <w:bidi w:val="0"/>
              <w:spacing w:before="0" w:after="283"/>
              <w:jc w:val="right"/>
              <w:rPr>
                <w:b/>
              </w:rPr>
            </w:pPr>
            <w:r>
              <w:rPr>
                <w:b/>
              </w:rPr>
              <w:t>430,278</w:t>
            </w:r>
          </w:p>
        </w:tc>
        <w:tc>
          <w:tcPr>
            <w:tcW w:w="15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LIABILITIES AND SHAREHOLDERS’ (DEFICIT)/EQUITY</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b/>
                <w:sz w:val="17"/>
              </w:rPr>
            </w:pPr>
            <w:r>
              <w:rPr>
                <w:rFonts w:ascii="Times New Roman" w:hAnsi="Times New Roman"/>
                <w:b/>
                <w:sz w:val="17"/>
              </w:rPr>
              <w:t>Equity</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Share capital</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Capital reserves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489,522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(5,043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4(aa)</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122,422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4(aaa)</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818,545</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91,697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(5,143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117,202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2,543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Retained earnings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(307,141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(50,350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(6,526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(494,321</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(13,102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(117,202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Other reserves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RAAQ Class A Ordinary Shares, $0.0001 par value; 500,000,000 shares authorized; none issued or outstanding at June 30, 2026 (excluding 17,250,000 Class A ordinary shares that were subject to possible redemption)</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RAAQ Class B Ordinary Shares, $0.0001 par value, 50,000,000 shares authorized, 5,750,000 shares issued and outstanding at June 30, 2026</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equity</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b/>
              </w:rPr>
            </w:pPr>
            <w:r>
              <w:rPr>
                <w:b/>
              </w:rPr>
              <w:t></w:t>
            </w:r>
          </w:p>
        </w:tc>
        <w:tc>
          <w:tcPr>
            <w:tcW w:w="1437" w:type="dxa"/>
            <w:tcBorders/>
            <w:shd w:fill="CCEEFF" w:val="clear"/>
            <w:vAlign w:val="bottom"/>
          </w:tcPr>
          <w:p>
            <w:pPr>
              <w:pStyle w:val="TableContents"/>
              <w:bidi w:val="0"/>
              <w:spacing w:before="0" w:after="283"/>
              <w:jc w:val="right"/>
              <w:rPr>
                <w:b/>
              </w:rPr>
            </w:pPr>
            <w:r>
              <w:rPr>
                <w:b/>
              </w:rPr>
              <w:t>182,422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(55,393</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b/>
              </w:rPr>
            </w:pPr>
            <w:r>
              <w:rPr>
                <w:b/>
              </w:rPr>
              <w:t>122,422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 xml:space="preserve">74,814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324,265</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375" w:type="dxa"/>
        <w:jc w:val="center"/>
        <w:tblInd w:w="0" w:type="dxa"/>
        <w:tblLayout w:type="fixed"/>
        <w:tblCellMar>
          <w:top w:w="0" w:type="dxa"/>
          <w:left w:w="0" w:type="dxa"/>
          <w:bottom w:w="0" w:type="dxa"/>
          <w:right w:w="0" w:type="dxa"/>
        </w:tblCellMar>
      </w:tblPr>
      <w:tblGrid>
        <w:gridCol w:w="2585"/>
        <w:gridCol w:w="60"/>
        <w:gridCol w:w="107"/>
        <w:gridCol w:w="1428"/>
        <w:gridCol w:w="60"/>
        <w:gridCol w:w="60"/>
        <w:gridCol w:w="81"/>
        <w:gridCol w:w="1094"/>
        <w:gridCol w:w="60"/>
        <w:gridCol w:w="60"/>
        <w:gridCol w:w="295"/>
        <w:gridCol w:w="295"/>
        <w:gridCol w:w="60"/>
        <w:gridCol w:w="60"/>
        <w:gridCol w:w="79"/>
        <w:gridCol w:w="1066"/>
        <w:gridCol w:w="60"/>
        <w:gridCol w:w="60"/>
        <w:gridCol w:w="295"/>
        <w:gridCol w:w="295"/>
        <w:gridCol w:w="60"/>
        <w:gridCol w:w="60"/>
        <w:gridCol w:w="84"/>
        <w:gridCol w:w="1226"/>
        <w:gridCol w:w="155"/>
        <w:gridCol w:w="60"/>
        <w:gridCol w:w="590"/>
        <w:gridCol w:w="60"/>
        <w:gridCol w:w="60"/>
        <w:gridCol w:w="800"/>
        <w:gridCol w:w="60"/>
      </w:tblGrid>
      <w:tr>
        <w:trPr/>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for share data)</w:t>
            </w:r>
          </w:p>
        </w:tc>
        <w:tc>
          <w:tcPr>
            <w:tcW w:w="6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w:t>
              <w:br/>
              <w:t>Quantum</w:t>
              <w:br/>
              <w:t>Computers Plc</w:t>
              <w:br/>
              <w:t>Historical</w:t>
              <w:br/>
              <w:t>(IFRS)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br/>
              <w:t>(IFRS)</w:t>
            </w:r>
            <w:r>
              <w:rPr/>
              <w:br/>
            </w:r>
            <w:r>
              <w:rPr>
                <w:b/>
              </w:rPr>
              <w:t>(Note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Pro</w:t>
              <w:br/>
              <w:t>Forma</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Pro</w:t>
            </w:r>
            <w:r>
              <w:rPr/>
              <w:br/>
            </w:r>
            <w:r>
              <w:rPr>
                <w:b/>
              </w:rPr>
              <w:t>Forma</w:t>
              <w:br/>
              <w:t>Balance</w:t>
              <w:br/>
              <w:t>Sheet</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Non-current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br/>
              <w:t>non- current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2,160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2,160</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11,306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11,306</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 non-current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RAAQ Class A Ordinary Shares that were subject to possible redemption</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158,071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(158,071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49,415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(5,271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44,144</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6,056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b/>
              </w:rPr>
            </w:pPr>
            <w:r>
              <w:rPr>
                <w:b/>
              </w:rPr>
              <w:t></w:t>
            </w:r>
          </w:p>
        </w:tc>
        <w:tc>
          <w:tcPr>
            <w:tcW w:w="1428" w:type="dxa"/>
            <w:tcBorders/>
            <w:vAlign w:val="bottom"/>
          </w:tcPr>
          <w:p>
            <w:pPr>
              <w:pStyle w:val="TableContents"/>
              <w:bidi w:val="0"/>
              <w:spacing w:before="0" w:after="283"/>
              <w:jc w:val="right"/>
              <w:rPr>
                <w:b/>
              </w:rPr>
            </w:pPr>
            <w:r>
              <w:rPr>
                <w:b/>
              </w:rPr>
              <w:t xml:space="preserve">13,480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b/>
              </w:rPr>
            </w:pPr>
            <w:r>
              <w:rPr>
                <w:b/>
              </w:rPr>
              <w:t></w:t>
            </w:r>
          </w:p>
        </w:tc>
        <w:tc>
          <w:tcPr>
            <w:tcW w:w="1094" w:type="dxa"/>
            <w:tcBorders/>
            <w:vAlign w:val="bottom"/>
          </w:tcPr>
          <w:p>
            <w:pPr>
              <w:pStyle w:val="TableContents"/>
              <w:bidi w:val="0"/>
              <w:spacing w:before="0" w:after="283"/>
              <w:jc w:val="right"/>
              <w:rPr>
                <w:b/>
              </w:rPr>
            </w:pPr>
            <w:r>
              <w:rPr>
                <w:b/>
              </w:rPr>
              <w:t>213,542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26" w:type="dxa"/>
            <w:tcBorders/>
            <w:vAlign w:val="bottom"/>
          </w:tcPr>
          <w:p>
            <w:pPr>
              <w:pStyle w:val="TableContents"/>
              <w:bidi w:val="0"/>
              <w:spacing w:before="0" w:after="283"/>
              <w:jc w:val="right"/>
              <w:rPr>
                <w:b/>
              </w:rPr>
            </w:pPr>
            <w:r>
              <w:rPr>
                <w:b/>
              </w:rPr>
              <w:t>(169,398</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57,624</w:t>
            </w:r>
          </w:p>
        </w:tc>
        <w:tc>
          <w:tcPr>
            <w:tcW w:w="6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2,341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2,341</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borrowings-current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12,810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12,809</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13,797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13,797</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benefits-current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8,961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8,007</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217</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11,927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3,423</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(8,462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14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b/>
              </w:rPr>
            </w:pPr>
            <w:r>
              <w:rPr>
                <w:b/>
              </w:rPr>
              <w:t></w:t>
            </w:r>
          </w:p>
        </w:tc>
        <w:tc>
          <w:tcPr>
            <w:tcW w:w="1428" w:type="dxa"/>
            <w:tcBorders/>
            <w:shd w:fill="CCEEFF" w:val="clear"/>
            <w:vAlign w:val="bottom"/>
          </w:tcPr>
          <w:p>
            <w:pPr>
              <w:pStyle w:val="TableContents"/>
              <w:bidi w:val="0"/>
              <w:spacing w:before="0" w:after="283"/>
              <w:jc w:val="right"/>
              <w:rPr>
                <w:b/>
              </w:rPr>
            </w:pPr>
            <w:r>
              <w:rPr>
                <w:b/>
              </w:rPr>
              <w:t>57,815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(9,473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48,389</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b/>
              </w:rPr>
            </w:pPr>
            <w:r>
              <w:rPr>
                <w:b/>
              </w:rPr>
              <w:t></w:t>
            </w:r>
          </w:p>
        </w:tc>
        <w:tc>
          <w:tcPr>
            <w:tcW w:w="1428" w:type="dxa"/>
            <w:tcBorders/>
            <w:vAlign w:val="bottom"/>
          </w:tcPr>
          <w:p>
            <w:pPr>
              <w:pStyle w:val="TableContents"/>
              <w:bidi w:val="0"/>
              <w:spacing w:before="0" w:after="283"/>
              <w:jc w:val="right"/>
              <w:rPr>
                <w:b/>
              </w:rPr>
            </w:pPr>
            <w:r>
              <w:rPr>
                <w:b/>
              </w:rPr>
              <w:t>71,295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b/>
              </w:rPr>
            </w:pPr>
            <w:r>
              <w:rPr>
                <w:b/>
              </w:rPr>
              <w:t></w:t>
            </w:r>
          </w:p>
        </w:tc>
        <w:tc>
          <w:tcPr>
            <w:tcW w:w="1094" w:type="dxa"/>
            <w:tcBorders/>
            <w:vAlign w:val="bottom"/>
          </w:tcPr>
          <w:p>
            <w:pPr>
              <w:pStyle w:val="TableContents"/>
              <w:bidi w:val="0"/>
              <w:spacing w:before="0" w:after="283"/>
              <w:jc w:val="right"/>
              <w:rPr>
                <w:b/>
              </w:rPr>
            </w:pPr>
            <w:r>
              <w:rPr>
                <w:b/>
              </w:rPr>
              <w:t>213,589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26" w:type="dxa"/>
            <w:tcBorders/>
            <w:vAlign w:val="bottom"/>
          </w:tcPr>
          <w:p>
            <w:pPr>
              <w:pStyle w:val="TableContents"/>
              <w:bidi w:val="0"/>
              <w:spacing w:before="0" w:after="283"/>
              <w:jc w:val="right"/>
              <w:rPr>
                <w:b/>
              </w:rPr>
            </w:pPr>
            <w:r>
              <w:rPr>
                <w:b/>
              </w:rPr>
              <w:t>(178,871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106,013</w:t>
            </w:r>
          </w:p>
        </w:tc>
        <w:tc>
          <w:tcPr>
            <w:tcW w:w="6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(deficit)/equity</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b/>
              </w:rPr>
            </w:pPr>
            <w:r>
              <w:rPr>
                <w:b/>
              </w:rPr>
              <w:t></w:t>
            </w:r>
          </w:p>
        </w:tc>
        <w:tc>
          <w:tcPr>
            <w:tcW w:w="1428" w:type="dxa"/>
            <w:tcBorders/>
            <w:shd w:fill="CCEEFF" w:val="clear"/>
            <w:vAlign w:val="bottom"/>
          </w:tcPr>
          <w:p>
            <w:pPr>
              <w:pStyle w:val="TableContents"/>
              <w:bidi w:val="0"/>
              <w:spacing w:before="0" w:after="283"/>
              <w:jc w:val="right"/>
              <w:rPr>
                <w:b/>
              </w:rPr>
            </w:pPr>
            <w:r>
              <w:rPr>
                <w:b/>
              </w:rPr>
              <w:t>253,719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158,196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b/>
              </w:rPr>
            </w:pPr>
            <w:r>
              <w:rPr>
                <w:b/>
              </w:rPr>
              <w:t>122,422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(104,059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430,278</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statement of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PROFIT AND LOSS FOR THE SIX MONTH ENDED JUNE 30, 2026 </w:t>
      </w:r>
    </w:p>
    <w:p>
      <w:pPr>
        <w:pStyle w:val="TextBody"/>
        <w:bidi w:val="0"/>
        <w:spacing w:before="0" w:after="0"/>
        <w:jc w:val="left"/>
        <w:rPr/>
      </w:pPr>
      <w:r>
        <w:rPr/>
        <w:t> </w:t>
      </w:r>
    </w:p>
    <w:tbl>
      <w:tblPr>
        <w:tblW w:w="11120" w:type="dxa"/>
        <w:jc w:val="center"/>
        <w:tblInd w:w="0" w:type="dxa"/>
        <w:tblLayout w:type="fixed"/>
        <w:tblCellMar>
          <w:top w:w="0" w:type="dxa"/>
          <w:left w:w="0" w:type="dxa"/>
          <w:bottom w:w="0" w:type="dxa"/>
          <w:right w:w="0" w:type="dxa"/>
        </w:tblCellMar>
      </w:tblPr>
      <w:tblGrid>
        <w:gridCol w:w="4625"/>
        <w:gridCol w:w="60"/>
        <w:gridCol w:w="80"/>
        <w:gridCol w:w="1080"/>
        <w:gridCol w:w="155"/>
        <w:gridCol w:w="60"/>
        <w:gridCol w:w="60"/>
        <w:gridCol w:w="1115"/>
        <w:gridCol w:w="155"/>
        <w:gridCol w:w="60"/>
        <w:gridCol w:w="106"/>
        <w:gridCol w:w="1204"/>
        <w:gridCol w:w="155"/>
        <w:gridCol w:w="60"/>
        <w:gridCol w:w="72"/>
        <w:gridCol w:w="518"/>
        <w:gridCol w:w="60"/>
        <w:gridCol w:w="60"/>
        <w:gridCol w:w="60"/>
        <w:gridCol w:w="1220"/>
        <w:gridCol w:w="155"/>
      </w:tblGrid>
      <w:tr>
        <w:trPr/>
        <w:tc>
          <w:tcPr>
            <w:tcW w:w="4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0"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per share and weighted-average share data)</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w:t>
              <w:br/>
              <w:t>Quantum</w:t>
              <w:br/>
              <w:t>Computers</w:t>
              <w:br/>
              <w:t>Plc</w:t>
              <w:br/>
              <w:t>Historical</w:t>
              <w:br/>
              <w:t>(IFRS)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br/>
              <w:t>(IFRS)</w:t>
            </w:r>
            <w:r>
              <w:rPr/>
              <w:br/>
            </w:r>
            <w:r>
              <w:rPr>
                <w:b/>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Pro</w:t>
              <w:br/>
              <w:t>Forma</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Statement of</w:t>
              <w:br/>
              <w:t>Operations</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from contracts with customers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8,870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8,870</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Cost of revenue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(5,265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(5,265</w:t>
            </w:r>
          </w:p>
        </w:tc>
        <w:tc>
          <w:tcPr>
            <w:tcW w:w="15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margin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b/>
              </w:rPr>
            </w:pPr>
            <w:r>
              <w:rPr>
                <w:b/>
              </w:rPr>
              <w:t></w:t>
            </w:r>
          </w:p>
        </w:tc>
        <w:tc>
          <w:tcPr>
            <w:tcW w:w="1080" w:type="dxa"/>
            <w:tcBorders/>
            <w:shd w:fill="CCEEFF" w:val="clear"/>
            <w:vAlign w:val="bottom"/>
          </w:tcPr>
          <w:p>
            <w:pPr>
              <w:pStyle w:val="TableContents"/>
              <w:bidi w:val="0"/>
              <w:spacing w:before="0" w:after="283"/>
              <w:jc w:val="right"/>
              <w:rPr>
                <w:b/>
              </w:rPr>
            </w:pPr>
            <w:r>
              <w:rPr>
                <w:b/>
              </w:rPr>
              <w:t>3,605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pPr>
            <w:r>
              <w:rPr/>
              <w:t xml:space="preserve">— 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3,605</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expenses: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expenses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(7,049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(7,049</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General and administrative expenses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(26,201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(6,527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(36,792</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(2,911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(34,047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(34,047</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Impairment losses (including reversals of impairment losses) on financial assets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operating income</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3,142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3,142</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Other operating expenses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operating expenses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b/>
              </w:rPr>
            </w:pPr>
            <w:r>
              <w:rPr>
                <w:b/>
              </w:rPr>
              <w:t></w:t>
            </w:r>
          </w:p>
        </w:tc>
        <w:tc>
          <w:tcPr>
            <w:tcW w:w="1080" w:type="dxa"/>
            <w:tcBorders/>
            <w:shd w:fill="CCEEFF" w:val="clear"/>
            <w:vAlign w:val="bottom"/>
          </w:tcPr>
          <w:p>
            <w:pPr>
              <w:pStyle w:val="TableContents"/>
              <w:bidi w:val="0"/>
              <w:spacing w:before="0" w:after="283"/>
              <w:jc w:val="right"/>
              <w:rPr>
                <w:b/>
              </w:rPr>
            </w:pPr>
            <w:r>
              <w:rPr>
                <w:b/>
              </w:rPr>
              <w:t>(64,142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(853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(9,738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(74,733</w:t>
            </w:r>
          </w:p>
        </w:tc>
        <w:tc>
          <w:tcPr>
            <w:tcW w:w="155" w:type="dxa"/>
            <w:tcBorders/>
            <w:shd w:fill="CCEEFF" w:val="clear"/>
            <w:vAlign w:val="bottom"/>
          </w:tcPr>
          <w:p>
            <w:pPr>
              <w:pStyle w:val="TableContents"/>
              <w:bidi w:val="0"/>
              <w:spacing w:before="0" w:after="283"/>
              <w:jc w:val="left"/>
              <w:rPr>
                <w:b/>
              </w:rPr>
            </w:pPr>
            <w:r>
              <w:rPr>
                <w:b/>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income (loss)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(60,537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(853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(9,738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(71,128</w:t>
            </w:r>
          </w:p>
        </w:tc>
        <w:tc>
          <w:tcPr>
            <w:tcW w:w="155" w:type="dxa"/>
            <w:tcBorders/>
            <w:vAlign w:val="bottom"/>
          </w:tcPr>
          <w:p>
            <w:pPr>
              <w:pStyle w:val="TableContents"/>
              <w:bidi w:val="0"/>
              <w:spacing w:before="0" w:after="283"/>
              <w:jc w:val="left"/>
              <w:rPr>
                <w:b/>
              </w:rPr>
            </w:pPr>
            <w:r>
              <w:rPr>
                <w:b/>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Other (expense) income:</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Finance income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5,067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5,067</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Finance costs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(19,400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9,845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(9,555</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Fair value change of financial liabilities at FVTPL</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(44,101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5,271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(38,830</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earnings on marketable securities held in Trust Account</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2,548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(2,548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Net earnings on cash equivalents held in Operating Account</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other income (expense), net</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b/>
              </w:rPr>
            </w:pPr>
            <w:r>
              <w:rPr>
                <w:b/>
              </w:rPr>
              <w:t></w:t>
            </w:r>
          </w:p>
        </w:tc>
        <w:tc>
          <w:tcPr>
            <w:tcW w:w="1080" w:type="dxa"/>
            <w:tcBorders/>
            <w:shd w:fill="CCEEFF" w:val="clear"/>
            <w:vAlign w:val="bottom"/>
          </w:tcPr>
          <w:p>
            <w:pPr>
              <w:pStyle w:val="TableContents"/>
              <w:bidi w:val="0"/>
              <w:spacing w:before="0" w:after="283"/>
              <w:jc w:val="right"/>
              <w:rPr>
                <w:b/>
              </w:rPr>
            </w:pPr>
            <w:r>
              <w:rPr>
                <w:b/>
              </w:rPr>
              <w:t>(14,333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(41,540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12,568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(43,305</w:t>
            </w:r>
          </w:p>
        </w:tc>
        <w:tc>
          <w:tcPr>
            <w:tcW w:w="155" w:type="dxa"/>
            <w:tcBorders/>
            <w:shd w:fill="CCEEFF" w:val="clear"/>
            <w:vAlign w:val="bottom"/>
          </w:tcPr>
          <w:p>
            <w:pPr>
              <w:pStyle w:val="TableContents"/>
              <w:bidi w:val="0"/>
              <w:spacing w:before="0" w:after="283"/>
              <w:jc w:val="left"/>
              <w:rPr>
                <w:b/>
              </w:rPr>
            </w:pPr>
            <w:r>
              <w:rPr>
                <w:b/>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18"/>
              </w:rPr>
            </w:pPr>
            <w:r>
              <w:rPr>
                <w:rFonts w:ascii="Times New Roman" w:hAnsi="Times New Roman"/>
                <w:b/>
                <w:sz w:val="18"/>
              </w:rPr>
              <w:t>Loss before income tax</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(74,870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(42,393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2,830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(114,433</w:t>
            </w:r>
          </w:p>
        </w:tc>
        <w:tc>
          <w:tcPr>
            <w:tcW w:w="155" w:type="dxa"/>
            <w:tcBorders/>
            <w:vAlign w:val="bottom"/>
          </w:tcPr>
          <w:p>
            <w:pPr>
              <w:pStyle w:val="TableContents"/>
              <w:bidi w:val="0"/>
              <w:spacing w:before="0" w:after="283"/>
              <w:jc w:val="left"/>
              <w:rPr>
                <w:b/>
              </w:rPr>
            </w:pPr>
            <w:r>
              <w:rPr>
                <w:b/>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5(h)</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18"/>
              </w:rPr>
            </w:pPr>
            <w:r>
              <w:rPr>
                <w:rFonts w:ascii="Times New Roman" w:hAnsi="Times New Roman"/>
                <w:b/>
                <w:sz w:val="18"/>
              </w:rPr>
              <w:t>Net income (loss)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(74,897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(42,393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2,830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(114,460</w:t>
            </w:r>
          </w:p>
        </w:tc>
        <w:tc>
          <w:tcPr>
            <w:tcW w:w="155" w:type="dxa"/>
            <w:tcBorders/>
            <w:vAlign w:val="bottom"/>
          </w:tcPr>
          <w:p>
            <w:pPr>
              <w:pStyle w:val="TableContents"/>
              <w:bidi w:val="0"/>
              <w:spacing w:before="0" w:after="283"/>
              <w:jc w:val="left"/>
              <w:rPr>
                <w:b/>
              </w:rPr>
            </w:pPr>
            <w:r>
              <w:rPr>
                <w:b/>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Weighted-average shares outstanding, RAAQ Class A Ordinary Shares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17,250,000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Basic and diluted net income (loss) per RAAQ Class A Ordinary Share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weighted-average shares outstanding, RAAQ Class B Ordinary Shares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Basic net income (loss) per RAAQ Class B Ordinary Share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Diluted weighted-average shares outstanding, RAAQ Class B Ordinary Shares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Diluted net income (loss) per RAAQ Class B Ordinary Share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Weighted-average shares outstanding, IQM Shares - basic and diluted</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311,026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188,692,107</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Net loss per share attributable to IQM Shareholders-basic and diluted</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(240.80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(0.61</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statement of profit and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PROFIT AND LOSS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43"/>
        <w:gridCol w:w="140"/>
        <w:gridCol w:w="108"/>
        <w:gridCol w:w="1468"/>
        <w:gridCol w:w="155"/>
        <w:gridCol w:w="140"/>
        <w:gridCol w:w="60"/>
        <w:gridCol w:w="1117"/>
        <w:gridCol w:w="155"/>
        <w:gridCol w:w="140"/>
        <w:gridCol w:w="84"/>
        <w:gridCol w:w="1245"/>
        <w:gridCol w:w="155"/>
        <w:gridCol w:w="140"/>
        <w:gridCol w:w="72"/>
        <w:gridCol w:w="523"/>
        <w:gridCol w:w="60"/>
        <w:gridCol w:w="140"/>
        <w:gridCol w:w="60"/>
        <w:gridCol w:w="1240"/>
        <w:gridCol w:w="160"/>
      </w:tblGrid>
      <w:tr>
        <w:trPr/>
        <w:tc>
          <w:tcPr>
            <w:tcW w:w="284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048"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 Quantum</w:t>
              <w:br/>
              <w:t>Computers Plc</w:t>
              <w:br/>
              <w:t>Historical</w:t>
              <w:br/>
              <w:t>(IFRS)</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r>
            <w:r>
              <w:rPr/>
              <w:br/>
            </w:r>
            <w:r>
              <w:rPr>
                <w:b/>
              </w:rPr>
              <w:t>Corp.</w:t>
              <w:br/>
              <w:t>Historical</w:t>
              <w:br/>
              <w:t>(IFRS)</w:t>
              <w:br/>
              <w:t>(Note 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Pro</w:t>
              <w:br/>
              <w:t>Forma</w:t>
              <w:br/>
              <w:t>Adjustments</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Statement of</w:t>
              <w:br/>
              <w:t>Operations</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from contracts with customers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31,333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31,333</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Cost of revenue</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(16,350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(16,350</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margin</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14,983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14,983</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expenses: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expenses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(5,879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(5,879</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General and administrative expenses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(18,475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(6,329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(51,360</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(23,014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5(b)</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43"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843" w:type="dxa"/>
            <w:tcBorders/>
            <w:shd w:fill="CCEEFF" w:val="clear"/>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(2,911</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Research and development expenses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(50,676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(50,676</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losses (including reversals of impairment losses) on financial assets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(182</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Other operating income</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3,945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3,945</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operating expenses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(1,778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(174,079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5(f)</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(175,857</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operating expenses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b/>
              </w:rPr>
            </w:pPr>
            <w:r>
              <w:rPr>
                <w:b/>
              </w:rPr>
              <w:t></w:t>
            </w:r>
          </w:p>
        </w:tc>
        <w:tc>
          <w:tcPr>
            <w:tcW w:w="1468" w:type="dxa"/>
            <w:tcBorders/>
            <w:vAlign w:val="bottom"/>
          </w:tcPr>
          <w:p>
            <w:pPr>
              <w:pStyle w:val="TableContents"/>
              <w:bidi w:val="0"/>
              <w:spacing w:before="0" w:after="283"/>
              <w:jc w:val="right"/>
              <w:rPr>
                <w:b/>
              </w:rPr>
            </w:pPr>
            <w:r>
              <w:rPr>
                <w:b/>
              </w:rPr>
              <w:t>(73,045</w:t>
            </w:r>
          </w:p>
        </w:tc>
        <w:tc>
          <w:tcPr>
            <w:tcW w:w="155"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7" w:type="dxa"/>
            <w:tcBorders/>
            <w:vAlign w:val="bottom"/>
          </w:tcPr>
          <w:p>
            <w:pPr>
              <w:pStyle w:val="TableContents"/>
              <w:bidi w:val="0"/>
              <w:spacing w:before="0" w:after="283"/>
              <w:jc w:val="right"/>
              <w:rPr>
                <w:b/>
              </w:rPr>
            </w:pPr>
            <w:r>
              <w:rPr>
                <w:b/>
              </w:rPr>
              <w:t>(331</w:t>
            </w:r>
          </w:p>
        </w:tc>
        <w:tc>
          <w:tcPr>
            <w:tcW w:w="155"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45" w:type="dxa"/>
            <w:tcBorders/>
            <w:vAlign w:val="bottom"/>
          </w:tcPr>
          <w:p>
            <w:pPr>
              <w:pStyle w:val="TableContents"/>
              <w:bidi w:val="0"/>
              <w:spacing w:before="0" w:after="283"/>
              <w:jc w:val="right"/>
              <w:rPr>
                <w:b/>
              </w:rPr>
            </w:pPr>
            <w:r>
              <w:rPr>
                <w:b/>
              </w:rPr>
              <w:t>(206,633</w:t>
            </w:r>
          </w:p>
        </w:tc>
        <w:tc>
          <w:tcPr>
            <w:tcW w:w="155"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40" w:type="dxa"/>
            <w:tcBorders/>
            <w:vAlign w:val="bottom"/>
          </w:tcPr>
          <w:p>
            <w:pPr>
              <w:pStyle w:val="TableContents"/>
              <w:bidi w:val="0"/>
              <w:spacing w:before="0" w:after="283"/>
              <w:jc w:val="right"/>
              <w:rPr>
                <w:b/>
              </w:rPr>
            </w:pPr>
            <w:r>
              <w:rPr>
                <w:b/>
              </w:rPr>
              <w:t>(280,009</w:t>
            </w:r>
          </w:p>
        </w:tc>
        <w:tc>
          <w:tcPr>
            <w:tcW w:w="160" w:type="dxa"/>
            <w:tcBorders/>
            <w:vAlign w:val="bottom"/>
          </w:tcPr>
          <w:p>
            <w:pPr>
              <w:pStyle w:val="TableContents"/>
              <w:bidi w:val="0"/>
              <w:spacing w:before="0" w:after="283"/>
              <w:jc w:val="left"/>
              <w:rPr>
                <w:b/>
              </w:rPr>
            </w:pPr>
            <w:r>
              <w:rPr>
                <w:b/>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income (loss)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(58,062</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(331</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(206,633</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(265,026</w:t>
            </w:r>
          </w:p>
        </w:tc>
        <w:tc>
          <w:tcPr>
            <w:tcW w:w="160" w:type="dxa"/>
            <w:tcBorders/>
            <w:shd w:fill="CCEEFF" w:val="clear"/>
            <w:vAlign w:val="bottom"/>
          </w:tcPr>
          <w:p>
            <w:pPr>
              <w:pStyle w:val="TableContents"/>
              <w:bidi w:val="0"/>
              <w:spacing w:before="0" w:after="283"/>
              <w:jc w:val="left"/>
              <w:rPr>
                <w:b/>
              </w:rPr>
            </w:pPr>
            <w:r>
              <w:rPr>
                <w:b/>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19"/>
              </w:rPr>
            </w:pPr>
            <w:r>
              <w:rPr>
                <w:rFonts w:ascii="Times New Roman" w:hAnsi="Times New Roman"/>
                <w:b/>
                <w:sz w:val="19"/>
              </w:rPr>
              <w:t>Other (expense) income:</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Finance income</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10,220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(1,130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9,090</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Finance costs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(6,213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(6,081</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Fair value change of financial liabilities at FVTPL</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(1,199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565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5(i)</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(634</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Net earnings on marketable securities held in Trust Account</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4,077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(4,077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earnings on cash equivalents held in Operating Account</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other income (expense), net</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b/>
              </w:rPr>
            </w:pPr>
            <w:r>
              <w:rPr>
                <w:b/>
              </w:rPr>
              <w:t></w:t>
            </w:r>
          </w:p>
        </w:tc>
        <w:tc>
          <w:tcPr>
            <w:tcW w:w="1468" w:type="dxa"/>
            <w:tcBorders/>
            <w:vAlign w:val="bottom"/>
          </w:tcPr>
          <w:p>
            <w:pPr>
              <w:pStyle w:val="TableContents"/>
              <w:bidi w:val="0"/>
              <w:spacing w:before="0" w:after="283"/>
              <w:jc w:val="right"/>
              <w:rPr>
                <w:b/>
              </w:rPr>
            </w:pPr>
            <w:r>
              <w:rPr>
                <w:b/>
              </w:rPr>
              <w:t>4,007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7" w:type="dxa"/>
            <w:tcBorders/>
            <w:vAlign w:val="bottom"/>
          </w:tcPr>
          <w:p>
            <w:pPr>
              <w:pStyle w:val="TableContents"/>
              <w:bidi w:val="0"/>
              <w:spacing w:before="0" w:after="283"/>
              <w:jc w:val="right"/>
              <w:rPr>
                <w:b/>
              </w:rPr>
            </w:pPr>
            <w:r>
              <w:rPr>
                <w:b/>
              </w:rPr>
              <w:t>2,893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45" w:type="dxa"/>
            <w:tcBorders/>
            <w:vAlign w:val="bottom"/>
          </w:tcPr>
          <w:p>
            <w:pPr>
              <w:pStyle w:val="TableContents"/>
              <w:bidi w:val="0"/>
              <w:spacing w:before="0" w:after="283"/>
              <w:jc w:val="right"/>
              <w:rPr>
                <w:b/>
              </w:rPr>
            </w:pPr>
            <w:r>
              <w:rPr>
                <w:b/>
              </w:rPr>
              <w:t>(4,510</w:t>
            </w:r>
          </w:p>
        </w:tc>
        <w:tc>
          <w:tcPr>
            <w:tcW w:w="155"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40" w:type="dxa"/>
            <w:tcBorders/>
            <w:vAlign w:val="bottom"/>
          </w:tcPr>
          <w:p>
            <w:pPr>
              <w:pStyle w:val="TableContents"/>
              <w:bidi w:val="0"/>
              <w:spacing w:before="0" w:after="283"/>
              <w:jc w:val="right"/>
              <w:rPr>
                <w:b/>
              </w:rPr>
            </w:pPr>
            <w:r>
              <w:rPr>
                <w:b/>
              </w:rPr>
              <w:t>2,390</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before income tax</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(54,055</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 xml:space="preserve">2,562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(211,143</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(262,636</w:t>
            </w:r>
          </w:p>
        </w:tc>
        <w:tc>
          <w:tcPr>
            <w:tcW w:w="160" w:type="dxa"/>
            <w:tcBorders/>
            <w:shd w:fill="CCEEFF" w:val="clear"/>
            <w:vAlign w:val="bottom"/>
          </w:tcPr>
          <w:p>
            <w:pPr>
              <w:pStyle w:val="TableContents"/>
              <w:bidi w:val="0"/>
              <w:spacing w:before="0" w:after="283"/>
              <w:jc w:val="left"/>
              <w:rPr>
                <w:b/>
              </w:rPr>
            </w:pPr>
            <w:r>
              <w:rPr>
                <w:b/>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Income tax</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(333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5(h)</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(333</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income (loss)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(54,388</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2,562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(211,143</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(262,969</w:t>
            </w:r>
          </w:p>
        </w:tc>
        <w:tc>
          <w:tcPr>
            <w:tcW w:w="160" w:type="dxa"/>
            <w:tcBorders/>
            <w:shd w:fill="CCEEFF" w:val="clear"/>
            <w:vAlign w:val="bottom"/>
          </w:tcPr>
          <w:p>
            <w:pPr>
              <w:pStyle w:val="TableContents"/>
              <w:bidi w:val="0"/>
              <w:spacing w:before="0" w:after="283"/>
              <w:jc w:val="left"/>
              <w:rPr>
                <w:b/>
              </w:rPr>
            </w:pPr>
            <w:r>
              <w:rPr>
                <w:b/>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Weighted-average shares outstanding, RAAQ Class A Ordinary Shares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11,626,027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188,692,107</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 net income per RAAQ Class A Ordinary Share</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Basic weighted-average shares outstanding, RAAQ Class B Ordinary Shares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5,505,479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net income per RAAQ Class B Ordinary Share</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Diluted weighted-average shares outstanding, RAAQ Class B Ordinary Shares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5,565,068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Diluted net income per RAAQ Class B Ordinary Share</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Weighted-average shares outstanding, IQM Shares-basic and diluted</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316,617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5(j)</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188,692,107</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attributable to IQM Shareholders-basic and diluted</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(171.78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5(j)</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(1.39</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statement of profit and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STATEMENT OF FINANCIAL POSITION AND STATEMENT OF PROFIT AND LOSS </w:t>
      </w:r>
    </w:p>
    <w:p>
      <w:pPr>
        <w:pStyle w:val="TextBody"/>
        <w:bidi w:val="0"/>
        <w:spacing w:before="24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statement of financial position and statement of profit and loss were prepared in accordance with Article 11 of Regulation S-X. The unaudited pro forma condensed combined statement of financial position and statement of profit and loss have been prepared in a manner consistent with the accounting policies adopted by IQM in its consolidated financial statements prepared in accordance with IFRS as issued by the IASB. The adjustments presented in the unaudited pro forma condensed combined statement of financial position and statement of profit and loss have been identified and presented to provide relevant information necessary for an understanding of IQM following the Business Combination and the PIPE Investment. The unaudited pro forma condensed combined statement of financial position and statement of profit and loss do not give effect to any anticipated synergies, operating efficiencies, tax savings, or cost savings that may be associated with the Closing. Further, the unaudited pro forma condensed combined statement of financial position and statement of profit and loss do not give effect to any items expected to arise after the Closing, including future operating decisions, integration costs, restructuring activities, or changes in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reflecting the Business Combination and the PIPE Investment are based on currently available information, inclusive of: (i) IQM’s audited consolidated financial statements as of and for the year ended December 31, 2025 and IQM’s unaudited consolidated financial statements as of June 30, 2026; (ii) RAAQ’s audited financial statements as of and for the year ended December 31, 2025; (iii) the Business Combination Agreement and ancillary transaction agreements; (iv) the executed PIPE Subscription Agreements and the related placement agent fee arrangements; and (v) other supporting contractual documentation. </w:t>
      </w:r>
    </w:p>
    <w:p>
      <w:pPr>
        <w:pStyle w:val="TextBody"/>
        <w:bidi w:val="0"/>
        <w:spacing w:before="240" w:after="0"/>
        <w:jc w:val="left"/>
        <w:rPr>
          <w:rFonts w:ascii="Times New Roman" w:hAnsi="Times New Roman"/>
          <w:sz w:val="20"/>
        </w:rPr>
      </w:pPr>
      <w:r>
        <w:rPr>
          <w:rFonts w:ascii="Times New Roman" w:hAnsi="Times New Roman"/>
          <w:sz w:val="20"/>
        </w:rPr>
        <w:t xml:space="preserve">IQM believes that the unaudited pro forma condensed combined statement of financial position and statement of profit and loss appropriately reflect the significant effects of the Business Combination and the PIPE Investment based on information available to management as of the date of this Prospectus, and that the pro forma adjustments are properly reflected therein.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for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will be accounted for as a capital reorganization in accordance with IFRS. Under this method of accounting, RAAQ will be treated as the “acquired” company and IQM will be treated as the accounting acquirer for financial statement reporting purposes. Accordingly, the Business Combination will be treated as the equivalent of IQM issuing shares for the net assets of RAAQ, accompanied by a recapitalization. The net assets of RAAQ will be stated at historical cost, with no goodwill or other intangible assets recorded. Operations prior to and following the Business Combination will be those of IQM. </w:t>
      </w:r>
    </w:p>
    <w:p>
      <w:pPr>
        <w:pStyle w:val="TextBody"/>
        <w:bidi w:val="0"/>
        <w:spacing w:before="240" w:after="0"/>
        <w:jc w:val="left"/>
        <w:rPr>
          <w:rFonts w:ascii="Times New Roman" w:hAnsi="Times New Roman"/>
          <w:sz w:val="20"/>
        </w:rPr>
      </w:pPr>
      <w:r>
        <w:rPr>
          <w:rFonts w:ascii="Times New Roman" w:hAnsi="Times New Roman"/>
          <w:sz w:val="20"/>
        </w:rPr>
        <w:t xml:space="preserve">IQM has been determined to be the accounting acquirer based on evaluation of the following facts and circumstances with regard to the combined entity immediately after the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IQM shareholders have a majority of the voting interest in the combined entity, with 84.7% of the voting power held by legacy IQM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shareholders hold a majority of the voting power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operations substantially comprise the ongoing operations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shareholders have the ability to nominate the majority of the members of the board of directors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senior management comprises the senior management of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has been determined that RAAQ did not meet the definition of a “business” pursuant to IFRS 3 Business Combinations, hence the transaction is accounted for within the scope of IFRS 2 (“Share-based payment”). In accordance with IFRS 2, the difference in the fair value of IQM’s equity instruments deemed issued to RAAQ shareholders, over the fair value of identifiable net assets of RAAQ represents a service for listing and is accounted for as a share-based payment which is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IFRS Policy and Presentation Alignment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statements of IQM have been prepared in accordance with IFRS as issued by the IASB and in its presentation and reporting currency of the Euro (). RAAQ’s historical financial information has been prepared in accordance with U.S. GAAP and reporting currency of the United States dollars ($). For purposes of the unaudited pro forma condensed combined statement of financial position and statement of profit and loss, RAAQ’s historical financial information has been adjusted to align with the IFRS accounting policies applied by IQM (which is the accounting acquirer in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Further, the financial statements of RAAQ have been translated in Euros in accordance with IAS 21 for the purposes of presentation in the unaudited pro forma condensed combined statement of financial position and statement of profit and loss using the following exchange rates: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period end exchange rate as of June 30, 2026, of $1.00 to 0.8777 for the statement of financial 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exchange rate for the period from January 1, 2025, through December 31, 2025, of $1.00 to 0.8850 and for the period from January 1, 2026, through June 30, 2026, of $1.00 to 0.8572 for the statement of loss.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RAAQ’s historical financial statements have been adjusted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to Unaudited Pro Forma Condensed Combined Statement of Financial Position as of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2"/>
        <w:gridCol w:w="139"/>
        <w:gridCol w:w="175"/>
        <w:gridCol w:w="1000"/>
        <w:gridCol w:w="60"/>
        <w:gridCol w:w="139"/>
        <w:gridCol w:w="89"/>
        <w:gridCol w:w="1143"/>
        <w:gridCol w:w="155"/>
        <w:gridCol w:w="139"/>
        <w:gridCol w:w="81"/>
        <w:gridCol w:w="1109"/>
        <w:gridCol w:w="154"/>
        <w:gridCol w:w="139"/>
        <w:gridCol w:w="178"/>
        <w:gridCol w:w="1144"/>
        <w:gridCol w:w="60"/>
        <w:gridCol w:w="139"/>
        <w:gridCol w:w="297"/>
        <w:gridCol w:w="297"/>
        <w:gridCol w:w="60"/>
        <w:gridCol w:w="139"/>
        <w:gridCol w:w="81"/>
        <w:gridCol w:w="1109"/>
        <w:gridCol w:w="167"/>
      </w:tblGrid>
      <w:tr>
        <w:trPr/>
        <w:tc>
          <w:tcPr>
            <w:tcW w:w="2012"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bottom"/>
          </w:tcPr>
          <w:p>
            <w:pPr>
              <w:pStyle w:val="TableContents"/>
              <w:bidi w:val="0"/>
              <w:spacing w:before="0" w:after="283"/>
              <w:jc w:val="left"/>
              <w:rPr>
                <w:i/>
              </w:rPr>
            </w:pPr>
            <w:r>
              <w:rPr>
                <w:i/>
              </w:rPr>
              <w:t xml:space="preserve">(In thousands, except for share data) </w:t>
            </w:r>
          </w:p>
        </w:tc>
        <w:tc>
          <w:tcPr>
            <w:tcW w:w="139"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USD</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br/>
              <w:t>Real Asset</w:t>
              <w:br/>
              <w:t>Acquisition</w:t>
              <w:br/>
              <w:t>Corp.</w:t>
              <w:br/>
              <w:t>IFRS</w:t>
            </w:r>
            <w:r>
              <w:rPr/>
              <w:br/>
            </w:r>
            <w:r>
              <w:rPr>
                <w:b/>
              </w:rPr>
              <w:t>EUR</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012"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180,097</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(22,025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158,072</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158,072</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w:t>
            </w:r>
          </w:p>
        </w:tc>
        <w:tc>
          <w:tcPr>
            <w:tcW w:w="167" w:type="dxa"/>
            <w:tcBorders/>
            <w:vAlign w:val="bottom"/>
          </w:tcPr>
          <w:p>
            <w:pPr>
              <w:pStyle w:val="TableContents"/>
              <w:bidi w:val="0"/>
              <w:spacing w:before="0" w:after="283"/>
              <w:jc w:val="left"/>
              <w:rPr/>
            </w:pPr>
            <w:r>
              <w:rPr/>
              <w:t>) </w:t>
            </w:r>
          </w:p>
        </w:tc>
      </w:tr>
      <w:tr>
        <w:trPr/>
        <w:tc>
          <w:tcPr>
            <w:tcW w:w="201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180,097</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(22,026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158,071</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158,071</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19</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19</w:t>
            </w:r>
          </w:p>
        </w:tc>
        <w:tc>
          <w:tcPr>
            <w:tcW w:w="1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169"/>
        <w:gridCol w:w="80"/>
        <w:gridCol w:w="175"/>
        <w:gridCol w:w="1014"/>
        <w:gridCol w:w="155"/>
        <w:gridCol w:w="80"/>
        <w:gridCol w:w="89"/>
        <w:gridCol w:w="1151"/>
        <w:gridCol w:w="155"/>
        <w:gridCol w:w="80"/>
        <w:gridCol w:w="81"/>
        <w:gridCol w:w="1103"/>
        <w:gridCol w:w="155"/>
        <w:gridCol w:w="80"/>
        <w:gridCol w:w="84"/>
        <w:gridCol w:w="1241"/>
        <w:gridCol w:w="155"/>
        <w:gridCol w:w="80"/>
        <w:gridCol w:w="75"/>
        <w:gridCol w:w="515"/>
        <w:gridCol w:w="60"/>
        <w:gridCol w:w="80"/>
        <w:gridCol w:w="81"/>
        <w:gridCol w:w="1103"/>
        <w:gridCol w:w="164"/>
      </w:tblGrid>
      <w:tr>
        <w:trPr/>
        <w:tc>
          <w:tcPr>
            <w:tcW w:w="2169"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9" w:type="dxa"/>
            <w:tcBorders/>
            <w:vAlign w:val="bottom"/>
          </w:tcPr>
          <w:p>
            <w:pPr>
              <w:pStyle w:val="TableContents"/>
              <w:bidi w:val="0"/>
              <w:spacing w:before="0" w:after="283"/>
              <w:jc w:val="left"/>
              <w:rPr>
                <w:i/>
              </w:rPr>
            </w:pPr>
            <w:r>
              <w:rPr>
                <w:i/>
              </w:rPr>
              <w:t xml:space="preserve">(In thousands, except for share data) </w:t>
            </w:r>
          </w:p>
        </w:tc>
        <w:tc>
          <w:tcPr>
            <w:tcW w:w="80"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USD</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br/>
              <w:t>Real Asset</w:t>
              <w:br/>
              <w:t>Acquisition</w:t>
              <w:br/>
              <w:t>Corp.</w:t>
              <w:br/>
              <w:t>IFRS</w:t>
            </w:r>
            <w:r>
              <w:rPr/>
              <w:br/>
            </w:r>
            <w:r>
              <w:rPr>
                <w:b/>
              </w:rPr>
              <w:t>EUR</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58</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48</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142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125</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180,239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(22,043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158,196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158,196</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(DEFICIT)/EQUITY</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169" w:type="dxa"/>
            <w:tcBorders/>
          </w:tcPr>
          <w:p>
            <w:pPr>
              <w:pStyle w:val="TableContents"/>
              <w:bidi w:val="0"/>
              <w:spacing w:before="0" w:after="0"/>
              <w:jc w:val="left"/>
              <w:rPr>
                <w:rFonts w:ascii="Times New Roman" w:hAnsi="Times New Roman"/>
                <w:b/>
                <w:sz w:val="20"/>
              </w:rPr>
            </w:pPr>
            <w:r>
              <w:rPr>
                <w:rFonts w:ascii="Times New Roman" w:hAnsi="Times New Roman"/>
                <w:b/>
                <w:sz w:val="20"/>
              </w:rPr>
              <w:t>Temporary equity</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RAAQ Class A Ordinary Shares that were subject to possible redemption, 17,250,000 shares at a redemption value of $10.27 per share at June 30, 2026</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180,098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(22,026</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158,072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(158,071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center"/>
              <w:rPr/>
            </w:pPr>
            <w:r>
              <w:rPr/>
              <w:t>3(c)</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Total class A ordinary shares subject to possible redemption</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180,098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(22,026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158,072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(158,071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(5,044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center"/>
              <w:rPr/>
            </w:pPr>
            <w:r>
              <w:rPr/>
              <w:t>3(a)</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(5,044</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(6,812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833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(5,979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(44,371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3(b)</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(50,350</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RAAQ Class A Ordinary Shares, $0.0001 par value; 500,000,000 shares authorized; none issued or outstanding at June 30, 2026 (excluding 17,250,000 Class A ordinary shares that were subject to possible redemption)</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RAAQ Class B Ordinary Shares, $0.0001 par value, 50,000,000 shares authorized, 5,750,000 shares issued and outstanding at June 30, 2026</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(6,812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833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(5,979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(49,415</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(55,394</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 - non-current</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 - non-current</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RAAQ Class A Ordinary Shares that were subject to possible redemption</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158,071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3(c)</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158,071</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5,044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center"/>
              <w:rPr/>
            </w:pPr>
            <w:r>
              <w:rPr/>
              <w:t>3(a)</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49,415</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44,371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3(b)</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6,900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(844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6,056</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6,056</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6,900</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(844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6,056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207,486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213,542</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400"/>
        <w:gridCol w:w="109"/>
        <w:gridCol w:w="175"/>
        <w:gridCol w:w="1015"/>
        <w:gridCol w:w="60"/>
        <w:gridCol w:w="109"/>
        <w:gridCol w:w="89"/>
        <w:gridCol w:w="1158"/>
        <w:gridCol w:w="155"/>
        <w:gridCol w:w="108"/>
        <w:gridCol w:w="81"/>
        <w:gridCol w:w="1126"/>
        <w:gridCol w:w="60"/>
        <w:gridCol w:w="109"/>
        <w:gridCol w:w="91"/>
        <w:gridCol w:w="1234"/>
        <w:gridCol w:w="60"/>
        <w:gridCol w:w="109"/>
        <w:gridCol w:w="600"/>
        <w:gridCol w:w="109"/>
        <w:gridCol w:w="81"/>
        <w:gridCol w:w="1097"/>
        <w:gridCol w:w="70"/>
      </w:tblGrid>
      <w:tr>
        <w:trPr/>
        <w:tc>
          <w:tcPr>
            <w:tcW w:w="240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bottom"/>
          </w:tcPr>
          <w:p>
            <w:pPr>
              <w:pStyle w:val="TableContents"/>
              <w:bidi w:val="0"/>
              <w:spacing w:before="0" w:after="283"/>
              <w:jc w:val="left"/>
              <w:rPr>
                <w:i/>
              </w:rPr>
            </w:pPr>
            <w:r>
              <w:rPr>
                <w:i/>
              </w:rPr>
              <w:t xml:space="preserve">(In thousands, except for share data) </w:t>
            </w:r>
          </w:p>
        </w:tc>
        <w:tc>
          <w:tcPr>
            <w:tcW w:w="109"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USD</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109"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br/>
              <w:t>Real Asset</w:t>
              <w:br/>
              <w:t>Acquisition</w:t>
              <w:br/>
              <w:t>Corp.</w:t>
              <w:br/>
              <w:t>IFRS</w:t>
            </w:r>
            <w:r>
              <w:rPr/>
              <w:br/>
            </w:r>
            <w:r>
              <w:rPr>
                <w:b/>
              </w:rPr>
              <w:t>EUR</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 - current</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 - current</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14</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33</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47</w:t>
            </w:r>
          </w:p>
        </w:tc>
        <w:tc>
          <w:tcPr>
            <w:tcW w:w="70" w:type="dxa"/>
            <w:tcBorders/>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6,954</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(851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6,103</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207,486</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213,589</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Class A ordinary shares that were subject to possible redemption, and shareholders’ (deficit)/equity</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180,240</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(22,044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158,196</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158,196</w:t>
            </w:r>
          </w:p>
        </w:tc>
        <w:tc>
          <w:tcPr>
            <w:tcW w:w="70" w:type="dxa"/>
            <w:tcBorders/>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U.S. GAAP to IFRS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the Private Placement Warrants and Public Warrants from equity classification to liability classification on the condensed combined statement of financial position, resulting from U.S. GAAP to IFRS conversion. The warrants are classified as permanent equity under U.S. GAAP and recorded in permanent equity. Due to the existence of the net share settlement feature, the RAAQ warrants are classified as a financial liability under IFRS pursuant to IAS 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fair value adjustment of the RAAQ private placement and public warrants in the amount of 44.1 million ($50.2 million) to bring the warrants to their fair value as of June 30, 2026. The fair value of RAAQ’s public warrants of 30.3 million ($34.5 million) has been determined based on the closing price of 3.51 ($4.00) per RAAQ public warrant as of June 30, 2026. As the RAAQ private placement warrant terms are substantially similar to the RAAQ public warrants, the fair value of RAAQ’s private placement warrants of 13.9 million ($15.8 million) has been determined based on the closing price of 3.51 ($4.00) per public warrant as of June 30, 2026. The RAAQ warrant liabilities are subject to remeasurement at each balance sheet date until such time the warrants are exercised, expire or qualify for equity classification, and any change in fair value will be recognized in the statement of profit and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RAAQ’s Class A ordinary shares that were subject to possible redemption from temporary equity to non-current liabilities. Under U.S. GAAP, shares of RAAQ’s Class A ordinary shares that were subject to possible redemption are classified as temporary equity, as RAAQ’s shareholders had a right to require RAAQ to redeem the Class A ordinary shares held by them and RAAQ had an irrevocable obligation to deliver a pro-rata amount of cash held by it in its trust account for such shares properly redeemed. RAAQ’s Class A ordinary shares that were subject to possible redemption are classified as financial liabilities under IFRS.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to the Unaudited Pro Forma Condensed Combined Statement of Profit and Loss for the Year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4"/>
        <w:gridCol w:w="71"/>
        <w:gridCol w:w="140"/>
        <w:gridCol w:w="1109"/>
        <w:gridCol w:w="155"/>
        <w:gridCol w:w="71"/>
        <w:gridCol w:w="142"/>
        <w:gridCol w:w="1083"/>
        <w:gridCol w:w="155"/>
        <w:gridCol w:w="70"/>
        <w:gridCol w:w="113"/>
        <w:gridCol w:w="1067"/>
        <w:gridCol w:w="155"/>
        <w:gridCol w:w="71"/>
        <w:gridCol w:w="96"/>
        <w:gridCol w:w="1222"/>
        <w:gridCol w:w="155"/>
        <w:gridCol w:w="71"/>
        <w:gridCol w:w="177"/>
        <w:gridCol w:w="413"/>
        <w:gridCol w:w="365"/>
        <w:gridCol w:w="70"/>
        <w:gridCol w:w="60"/>
        <w:gridCol w:w="1124"/>
        <w:gridCol w:w="166"/>
      </w:tblGrid>
      <w:tr>
        <w:trPr/>
        <w:tc>
          <w:tcPr>
            <w:tcW w:w="1884"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8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105" w:type="dxa"/>
            <w:gridSpan w:val="10"/>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 2026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i/>
              </w:rPr>
            </w:pPr>
            <w:r>
              <w:rPr>
                <w:i/>
              </w:rPr>
              <w:t>(In thousands, except per share and weighted-average</w:t>
              <w:br/>
              <w:t>share data)</w:t>
            </w:r>
          </w:p>
        </w:tc>
        <w:tc>
          <w:tcPr>
            <w:tcW w:w="71"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r>
            <w:r>
              <w:rPr/>
              <w:br/>
            </w:r>
            <w:r>
              <w:rPr>
                <w:b/>
              </w:rPr>
              <w:t>U.S. GAAP</w:t>
              <w:br/>
              <w:t>USD</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36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r>
            <w:r>
              <w:rPr/>
              <w:br/>
            </w:r>
            <w:r>
              <w:rPr>
                <w:b/>
              </w:rPr>
              <w:t>Real Asset</w:t>
              <w:br/>
              <w:t>Acquisition</w:t>
              <w:br/>
              <w:t>Corp.</w:t>
            </w:r>
            <w:r>
              <w:rPr/>
              <w:br/>
            </w:r>
            <w:r>
              <w:rPr>
                <w:b/>
              </w:rPr>
              <w:t>IFRS</w:t>
            </w:r>
            <w:r>
              <w:rPr/>
              <w:br/>
            </w:r>
            <w:r>
              <w:rPr>
                <w:b/>
              </w:rPr>
              <w:t>EUR</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(995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(853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(853</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(995</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142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(853</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b/>
              </w:rPr>
            </w:pPr>
            <w:r>
              <w:rPr>
                <w:b/>
              </w:rPr>
              <w:t>(853</w:t>
            </w:r>
          </w:p>
        </w:tc>
        <w:tc>
          <w:tcPr>
            <w:tcW w:w="166" w:type="dxa"/>
            <w:tcBorders/>
            <w:shd w:fill="CCEEFF" w:val="clear"/>
            <w:vAlign w:val="bottom"/>
          </w:tcPr>
          <w:p>
            <w:pPr>
              <w:pStyle w:val="TableContents"/>
              <w:bidi w:val="0"/>
              <w:spacing w:before="0" w:after="283"/>
              <w:jc w:val="left"/>
              <w:rPr>
                <w:b/>
              </w:rPr>
            </w:pPr>
            <w:r>
              <w:rPr>
                <w:b/>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(995</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142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7" w:type="dxa"/>
            <w:tcBorders/>
            <w:vAlign w:val="bottom"/>
          </w:tcPr>
          <w:p>
            <w:pPr>
              <w:pStyle w:val="TableContents"/>
              <w:bidi w:val="0"/>
              <w:spacing w:before="0" w:after="283"/>
              <w:jc w:val="right"/>
              <w:rPr>
                <w:b/>
              </w:rPr>
            </w:pPr>
            <w:r>
              <w:rPr>
                <w:b/>
              </w:rPr>
              <w:t>(853</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(853</w:t>
            </w:r>
          </w:p>
        </w:tc>
        <w:tc>
          <w:tcPr>
            <w:tcW w:w="166" w:type="dxa"/>
            <w:tcBorders/>
            <w:vAlign w:val="bottom"/>
          </w:tcPr>
          <w:p>
            <w:pPr>
              <w:pStyle w:val="TableContents"/>
              <w:bidi w:val="0"/>
              <w:spacing w:before="0" w:after="283"/>
              <w:jc w:val="left"/>
              <w:rPr>
                <w:b/>
              </w:rPr>
            </w:pPr>
            <w:r>
              <w:rPr>
                <w:b/>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 income:</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 of financial liabilities at FVTPL</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(44,101</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3</w:t>
            </w:r>
          </w:p>
        </w:tc>
        <w:tc>
          <w:tcPr>
            <w:tcW w:w="365" w:type="dxa"/>
            <w:tcBorders/>
            <w:vAlign w:val="bottom"/>
          </w:tcPr>
          <w:p>
            <w:pPr>
              <w:pStyle w:val="TableContents"/>
              <w:bidi w:val="0"/>
              <w:spacing w:before="0" w:after="283"/>
              <w:jc w:val="left"/>
              <w:rPr>
                <w:b/>
              </w:rPr>
            </w:pPr>
            <w:r>
              <w:rPr>
                <w:b/>
              </w:rPr>
              <w:t>(d)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(44,101</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2,972</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(424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2,548</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2,548</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13</w:t>
            </w:r>
          </w:p>
        </w:tc>
        <w:tc>
          <w:tcPr>
            <w:tcW w:w="166" w:type="dxa"/>
            <w:tcBorders/>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income (expense), net</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2,987</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(426</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2,561</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b/>
              </w:rPr>
            </w:pPr>
            <w:r>
              <w:rPr>
                <w:b/>
              </w:rPr>
              <w:t>(44,101</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b/>
              </w:rPr>
            </w:pPr>
            <w:r>
              <w:rPr>
                <w:b/>
              </w:rPr>
              <w:t>(41,540</w:t>
            </w:r>
          </w:p>
        </w:tc>
        <w:tc>
          <w:tcPr>
            <w:tcW w:w="166" w:type="dxa"/>
            <w:tcBorders/>
            <w:shd w:fill="CCEEFF" w:val="clear"/>
            <w:vAlign w:val="bottom"/>
          </w:tcPr>
          <w:p>
            <w:pPr>
              <w:pStyle w:val="TableContents"/>
              <w:bidi w:val="0"/>
              <w:spacing w:before="0" w:after="283"/>
              <w:jc w:val="left"/>
              <w:rPr>
                <w:b/>
              </w:rPr>
            </w:pPr>
            <w:r>
              <w:rPr>
                <w:b/>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1,992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(284</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7" w:type="dxa"/>
            <w:tcBorders/>
            <w:vAlign w:val="bottom"/>
          </w:tcPr>
          <w:p>
            <w:pPr>
              <w:pStyle w:val="TableContents"/>
              <w:bidi w:val="0"/>
              <w:spacing w:before="0" w:after="283"/>
              <w:jc w:val="right"/>
              <w:rPr>
                <w:b/>
              </w:rPr>
            </w:pPr>
            <w:r>
              <w:rPr>
                <w:b/>
              </w:rPr>
              <w:t>1,708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b/>
              </w:rPr>
            </w:pPr>
            <w:r>
              <w:rPr>
                <w:b/>
              </w:rPr>
              <w:t>(44,101</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(42,393</w:t>
            </w:r>
          </w:p>
        </w:tc>
        <w:tc>
          <w:tcPr>
            <w:tcW w:w="166" w:type="dxa"/>
            <w:tcBorders/>
            <w:vAlign w:val="bottom"/>
          </w:tcPr>
          <w:p>
            <w:pPr>
              <w:pStyle w:val="TableContents"/>
              <w:bidi w:val="0"/>
              <w:spacing w:before="0" w:after="283"/>
              <w:jc w:val="left"/>
              <w:rPr>
                <w:b/>
              </w:rPr>
            </w:pPr>
            <w:r>
              <w:rPr>
                <w:b/>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1,992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(284</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7" w:type="dxa"/>
            <w:tcBorders/>
            <w:vAlign w:val="bottom"/>
          </w:tcPr>
          <w:p>
            <w:pPr>
              <w:pStyle w:val="TableContents"/>
              <w:bidi w:val="0"/>
              <w:spacing w:before="0" w:after="283"/>
              <w:jc w:val="right"/>
              <w:rPr>
                <w:b/>
              </w:rPr>
            </w:pPr>
            <w:r>
              <w:rPr>
                <w:b/>
              </w:rPr>
              <w:t>1,708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b/>
              </w:rPr>
            </w:pPr>
            <w:r>
              <w:rPr>
                <w:b/>
              </w:rPr>
              <w:t>(44,101</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(42,393</w:t>
            </w:r>
          </w:p>
        </w:tc>
        <w:tc>
          <w:tcPr>
            <w:tcW w:w="166" w:type="dxa"/>
            <w:tcBorders/>
            <w:vAlign w:val="bottom"/>
          </w:tcPr>
          <w:p>
            <w:pPr>
              <w:pStyle w:val="TableContents"/>
              <w:bidi w:val="0"/>
              <w:spacing w:before="0" w:after="283"/>
              <w:jc w:val="left"/>
              <w:rPr>
                <w:b/>
              </w:rPr>
            </w:pPr>
            <w:r>
              <w:rPr>
                <w:b/>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Class A Ordinary Shares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17,250,000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17,250,000</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Class A Ordinary Share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(1.84</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weighted-average shares outstanding, Class B Ordinary Shares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5,750,000</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Class B Ordinary Share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(1.84</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weighted-average shares outstanding, Class B Ordinary Shares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5,750,000</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Diluted net income per Class B Ordinary Share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(1.84</w:t>
            </w:r>
          </w:p>
        </w:tc>
        <w:tc>
          <w:tcPr>
            <w:tcW w:w="1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to the Unaudited Pro Forma Condensed Combined Statement of Profit and Loss for the Year Ended December 31, 2025 </w:t>
      </w:r>
    </w:p>
    <w:p>
      <w:pPr>
        <w:pStyle w:val="TextBody"/>
        <w:bidi w:val="0"/>
        <w:spacing w:before="0" w:after="0"/>
        <w:jc w:val="left"/>
        <w:rPr/>
      </w:pPr>
      <w:r>
        <w:rPr/>
        <w:t> </w:t>
      </w:r>
    </w:p>
    <w:tbl>
      <w:tblPr>
        <w:tblW w:w="11690" w:type="dxa"/>
        <w:jc w:val="center"/>
        <w:tblInd w:w="0" w:type="dxa"/>
        <w:tblLayout w:type="fixed"/>
        <w:tblCellMar>
          <w:top w:w="0" w:type="dxa"/>
          <w:left w:w="0" w:type="dxa"/>
          <w:bottom w:w="0" w:type="dxa"/>
          <w:right w:w="0" w:type="dxa"/>
        </w:tblCellMar>
      </w:tblPr>
      <w:tblGrid>
        <w:gridCol w:w="3785"/>
        <w:gridCol w:w="60"/>
        <w:gridCol w:w="140"/>
        <w:gridCol w:w="1100"/>
        <w:gridCol w:w="155"/>
        <w:gridCol w:w="60"/>
        <w:gridCol w:w="142"/>
        <w:gridCol w:w="1078"/>
        <w:gridCol w:w="155"/>
        <w:gridCol w:w="60"/>
        <w:gridCol w:w="113"/>
        <w:gridCol w:w="1062"/>
        <w:gridCol w:w="155"/>
        <w:gridCol w:w="60"/>
        <w:gridCol w:w="113"/>
        <w:gridCol w:w="1197"/>
        <w:gridCol w:w="155"/>
        <w:gridCol w:w="60"/>
        <w:gridCol w:w="72"/>
        <w:gridCol w:w="518"/>
        <w:gridCol w:w="60"/>
        <w:gridCol w:w="60"/>
        <w:gridCol w:w="60"/>
        <w:gridCol w:w="1115"/>
        <w:gridCol w:w="155"/>
      </w:tblGrid>
      <w:tr>
        <w:trPr/>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5"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per share and weighted-average</w:t>
              <w:br/>
              <w:t>share data)</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r>
            <w:r>
              <w:rPr/>
              <w:br/>
            </w:r>
            <w:r>
              <w:rPr>
                <w:b/>
              </w:rPr>
              <w:t>U.S. GAAP</w:t>
              <w:br/>
              <w:t>USD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r>
            <w:r>
              <w:rPr/>
              <w:br/>
            </w:r>
            <w:r>
              <w:rPr>
                <w:b/>
              </w:rPr>
              <w:t>Real Asset</w:t>
              <w:br/>
              <w:t>Acquisition</w:t>
              <w:br/>
              <w:t>Corp. IFRS</w:t>
              <w:br/>
              <w:t>EUR</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(374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b/>
              </w:rPr>
            </w:pPr>
            <w:r>
              <w:rPr>
                <w:b/>
              </w:rPr>
              <w:t>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2" w:type="dxa"/>
            <w:tcBorders/>
            <w:shd w:fill="CCEEFF" w:val="clear"/>
            <w:vAlign w:val="bottom"/>
          </w:tcPr>
          <w:p>
            <w:pPr>
              <w:pStyle w:val="TableContents"/>
              <w:bidi w:val="0"/>
              <w:spacing w:before="0" w:after="283"/>
              <w:jc w:val="right"/>
              <w:rPr>
                <w:b/>
              </w:rPr>
            </w:pPr>
            <w:r>
              <w:rPr>
                <w:b/>
              </w:rPr>
              <w:t>(331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(331</w:t>
            </w:r>
          </w:p>
        </w:tc>
        <w:tc>
          <w:tcPr>
            <w:tcW w:w="155" w:type="dxa"/>
            <w:tcBorders/>
            <w:shd w:fill="CCEEFF" w:val="clear"/>
            <w:vAlign w:val="bottom"/>
          </w:tcPr>
          <w:p>
            <w:pPr>
              <w:pStyle w:val="TableContents"/>
              <w:bidi w:val="0"/>
              <w:spacing w:before="0" w:after="283"/>
              <w:jc w:val="left"/>
              <w:rPr>
                <w:b/>
              </w:rPr>
            </w:pPr>
            <w:r>
              <w:rPr>
                <w:b/>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0" w:type="dxa"/>
            <w:tcBorders/>
            <w:vAlign w:val="bottom"/>
          </w:tcPr>
          <w:p>
            <w:pPr>
              <w:pStyle w:val="TableContents"/>
              <w:bidi w:val="0"/>
              <w:spacing w:before="0" w:after="283"/>
              <w:jc w:val="right"/>
              <w:rPr>
                <w:b/>
              </w:rPr>
            </w:pPr>
            <w:r>
              <w:rPr>
                <w:b/>
              </w:rPr>
              <w:t>(374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b/>
              </w:rPr>
            </w:pPr>
            <w:r>
              <w:rPr>
                <w:b/>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2" w:type="dxa"/>
            <w:tcBorders/>
            <w:vAlign w:val="bottom"/>
          </w:tcPr>
          <w:p>
            <w:pPr>
              <w:pStyle w:val="TableContents"/>
              <w:bidi w:val="0"/>
              <w:spacing w:before="0" w:after="283"/>
              <w:jc w:val="right"/>
              <w:rPr>
                <w:b/>
              </w:rPr>
            </w:pPr>
            <w:r>
              <w:rPr>
                <w:b/>
              </w:rPr>
              <w:t>(331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(331</w:t>
            </w:r>
          </w:p>
        </w:tc>
        <w:tc>
          <w:tcPr>
            <w:tcW w:w="155" w:type="dxa"/>
            <w:tcBorders/>
            <w:vAlign w:val="bottom"/>
          </w:tcPr>
          <w:p>
            <w:pPr>
              <w:pStyle w:val="TableContents"/>
              <w:bidi w:val="0"/>
              <w:spacing w:before="0" w:after="283"/>
              <w:jc w:val="left"/>
              <w:rPr>
                <w:b/>
              </w:rPr>
            </w:pPr>
            <w:r>
              <w:rPr>
                <w:b/>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 of financial liabilities at FVTPL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3(d)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(1,199</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4,607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(530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4,077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4,077</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income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4,624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b/>
              </w:rPr>
            </w:pPr>
            <w:r>
              <w:rPr>
                <w:b/>
              </w:rPr>
              <w:t>(532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2" w:type="dxa"/>
            <w:tcBorders/>
            <w:shd w:fill="CCEEFF" w:val="clear"/>
            <w:vAlign w:val="bottom"/>
          </w:tcPr>
          <w:p>
            <w:pPr>
              <w:pStyle w:val="TableContents"/>
              <w:bidi w:val="0"/>
              <w:spacing w:before="0" w:after="283"/>
              <w:jc w:val="right"/>
              <w:rPr>
                <w:b/>
              </w:rPr>
            </w:pPr>
            <w:r>
              <w:rPr>
                <w:b/>
              </w:rPr>
              <w:t>4,092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b/>
              </w:rPr>
            </w:pPr>
            <w:r>
              <w:rPr>
                <w:b/>
              </w:rPr>
              <w:t>(1,199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2,893</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0" w:type="dxa"/>
            <w:tcBorders/>
            <w:vAlign w:val="bottom"/>
          </w:tcPr>
          <w:p>
            <w:pPr>
              <w:pStyle w:val="TableContents"/>
              <w:bidi w:val="0"/>
              <w:spacing w:before="0" w:after="283"/>
              <w:jc w:val="right"/>
              <w:rPr>
                <w:b/>
              </w:rPr>
            </w:pPr>
            <w:r>
              <w:rPr>
                <w:b/>
              </w:rPr>
              <w:t>4,250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b/>
              </w:rPr>
            </w:pPr>
            <w:r>
              <w:rPr>
                <w:b/>
              </w:rPr>
              <w:t>(489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2" w:type="dxa"/>
            <w:tcBorders/>
            <w:vAlign w:val="bottom"/>
          </w:tcPr>
          <w:p>
            <w:pPr>
              <w:pStyle w:val="TableContents"/>
              <w:bidi w:val="0"/>
              <w:spacing w:before="0" w:after="283"/>
              <w:jc w:val="right"/>
              <w:rPr>
                <w:b/>
              </w:rPr>
            </w:pPr>
            <w:r>
              <w:rPr>
                <w:b/>
              </w:rPr>
              <w:t>3,761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b/>
              </w:rPr>
            </w:pPr>
            <w:r>
              <w:rPr>
                <w:b/>
              </w:rPr>
              <w:t>(1,199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2,562</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0" w:type="dxa"/>
            <w:tcBorders/>
            <w:vAlign w:val="bottom"/>
          </w:tcPr>
          <w:p>
            <w:pPr>
              <w:pStyle w:val="TableContents"/>
              <w:bidi w:val="0"/>
              <w:spacing w:before="0" w:after="283"/>
              <w:jc w:val="right"/>
              <w:rPr>
                <w:b/>
              </w:rPr>
            </w:pPr>
            <w:r>
              <w:rPr>
                <w:b/>
              </w:rPr>
              <w:t>4,250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b/>
              </w:rPr>
            </w:pPr>
            <w:r>
              <w:rPr>
                <w:b/>
              </w:rPr>
              <w:t>(489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2" w:type="dxa"/>
            <w:tcBorders/>
            <w:vAlign w:val="bottom"/>
          </w:tcPr>
          <w:p>
            <w:pPr>
              <w:pStyle w:val="TableContents"/>
              <w:bidi w:val="0"/>
              <w:spacing w:before="0" w:after="283"/>
              <w:jc w:val="right"/>
              <w:rPr>
                <w:b/>
              </w:rPr>
            </w:pPr>
            <w:r>
              <w:rPr>
                <w:b/>
              </w:rPr>
              <w:t>3,761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b/>
              </w:rPr>
            </w:pPr>
            <w:r>
              <w:rPr>
                <w:b/>
              </w:rPr>
              <w:t>(1,199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2,562</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Class A Ordinary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11,626,027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11,626,027</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Class A Ordinary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weighted-average shares outstanding, Class B Ordinary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5,505,479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5,505,479</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Class B Ordinary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weighted-average shares outstanding, Class B Ordinary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5,565,068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5,565,068</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Diluted net income per Class B Ordinary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 Forma U.S. GAAP to IFRS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net 44.1 million ($50.2 million) change in fair value of RAAQ’s public and private placement warrants, assuming that the adjustment in Note 3(a) to reclass the RAAQ warrants to financial liabilities was made on January 1, 2025, for purposes of the unaudited pro forma condensed combined statement of profit and loss.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Condensed Combined Statement of Financial Position as of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PIPE Investment: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(aaa)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122.4 million ($145.5 million) received from the issuance and sale of 14,548,000 IQM Shares, including in the form of IQM ADSs, for a purchase price of 8.77 ($10.00) per IQM ADS, net of placement agent fees of 5.3 million ($6.0 million). The placement agent fees represent incremental costs directly attributable to the issuance of equity instruments and, in accordance with IAS 32.37, are accounted for as a deduction from equity, within capital reserves.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release of the cash and investments held in the Trust Account to cash and cash equivalents, net of amounts paid to redeeming RAAQ shareholders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3.5 million ($4.0 million) in deferred underwriting commissions upon the Closing. Pursuant to the terms of the underwriting agreement, the deferred underwriting commission was reduced by 0.35 ($0.40) for each Public Share that Public Shareholders elected to redeem in connection with the Business Combination. The redemption of 7,243,253 Public Shares results in a reduction of 2.5 million ($2.9 million) from the original deferred underwriting commission payable which is recorded as an increase to capital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incurred by RAAQ of approximately 6.6 million ($7.5 million) primarily related to legal, advisory, accounting, auditing, and printer services. This adjustment includes the reduction of accrued expenses in the amount of 56 thousand ($64 thousand) for transaction costs which were accrued for as of June 30, 2026, and will be paid at Closing. Management evaluated the nature of these costs and determined that the transaction costs would be expensed as incurred as they are not directly attributable to the offering. Accordingly, these costs have been reflected as an increase to accumulated deficit in the unaudited pro forma condensed combined statement of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conversion of 10,006,747 issued and outstanding RAAQ Class A Ordinary Shares that were subject to possible redemption immediately prior to the Closing into IQM Shares on a one-for-one basis, the remaining 7,243,253 such shares having been redeemed for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conversion of RAAQ Class B Ordinary Shares to RAAQ Class A Ordinary Shares immediately prior to the Closing. This results in the presentation of no adjustment to RAAQ Class A Ordinary Shares and RAAQ Class B Ordinary Shares, due to the effect of rounding as the par value of the shares is less than 1 thousand ($1 thousand).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forfeiture by the Sponsor for no consideration, pursuant to the terms of the Sponsor Support Agreement, of (x) 1,375,000 RAAQ Class B Ordinary Shares and (y) 1,544,019 Private Placement Warrants. Pursuant to the Sponsor Support Agreement, the number of Private Placement Warrants retained by the Sponsor was determined by reference to the Remaining Trust Fund Proceeds at the Closing, and the parties agreed that the Sponsor would retain 2,180,981 of its 3,725,000 forfeitable warrants, with the remaining 1,544,019 forfeited for no consideration. The 1,725,000 Private Placement Warrants held by the underwriters were not subject to forfeiture and were retained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incurred by IQM of approximately 26.7 million ($30.4 million) in connection with the Business Combination. Of these costs, 8.5 million ($9.6 million) had already been accrued in IQM’s historical statement of financial position and their settlement is reflected as a reduction of other current liabilities; 5.1 million ($5.9 million), representing costs directly attributable to the issuance of equity instruments, are recorded as a reduction of capital reserves in accordance with IAS 32.37; and the remaining 13.1 million ($14.9 million), which were not directly attributable to the offering, are recognized as an increase to accumulated deficit in the unaudited pro forma condensed combined statement of financial position.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IAS 1.106(d), transactions with owners in their capacity as owners are presented directly in equity and excluded from profit or loss. The forfeited equity instrument has been derecognized, with a corresponding credit recorded to capital reserves for the RAAQ Class B Ordinary Shares in the amount of 0 thousand ($0 thousand), due to the effect of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certain RAAQ historical balance sheet accounts to align with IQM’s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Merger Consideration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Business Combination Agreement, the consideration delivered to the RAAQ shareholders consisted of IQM Shares, delivered in the form of IQM ADSs, together with the assumption and conversion of all outstanding RAAQ Warrants into IQM Warrants exercisable for IQM Shares. At the Merger Effective Time, each RAAQ Class A Ordinary Share issued and outstanding immediately prior to the Merger Effective Time (with the exception of redeeming public shares, SPAC Treasury Shares, and Dissenting SPAC Shares) was canceled and automatically converted into the right to receive one newly-issued IQM Share, which was delivered as one IQM ADS pursuant to the Deposit Agreement. Additionally, at the Merger Effective Time, each outstanding RAAQ Warrant ceased to represent a warrant to purchase RAAQ Class A Ordinary Shares and was assumed by IQM and converted into an IQM Warrant to purchase one IQM Share, subject to substantially the same terms and conditions as those applicable to the corresponding RAAQ Warrant immediately prior to the Merger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pro forma number of IQM Shares (including in the form of IQM ADSs) outstanding immediately following the Closing as depicted in the unaudited pro forma condensed combined statement of financial position and statement of profit and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93"/>
        <w:gridCol w:w="432"/>
        <w:gridCol w:w="60"/>
        <w:gridCol w:w="1306"/>
        <w:gridCol w:w="438"/>
        <w:gridCol w:w="342"/>
        <w:gridCol w:w="139"/>
        <w:gridCol w:w="1419"/>
        <w:gridCol w:w="326"/>
      </w:tblGrid>
      <w:tr>
        <w:trPr/>
        <w:tc>
          <w:tcPr>
            <w:tcW w:w="3293"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29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438"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Ownership</w:t>
            </w:r>
          </w:p>
        </w:tc>
        <w:tc>
          <w:tcPr>
            <w:tcW w:w="326"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held by IQM shareholders(1)</w:t>
            </w:r>
          </w:p>
        </w:tc>
        <w:tc>
          <w:tcPr>
            <w:tcW w:w="4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159,762,360</w:t>
            </w:r>
          </w:p>
        </w:tc>
        <w:tc>
          <w:tcPr>
            <w:tcW w:w="43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84.7</w:t>
            </w:r>
          </w:p>
        </w:tc>
        <w:tc>
          <w:tcPr>
            <w:tcW w:w="326" w:type="dxa"/>
            <w:tcBorders/>
            <w:shd w:fill="CCEEFF" w:val="clear"/>
            <w:vAlign w:val="bottom"/>
          </w:tcPr>
          <w:p>
            <w:pPr>
              <w:pStyle w:val="TableContents"/>
              <w:bidi w:val="0"/>
              <w:spacing w:before="0" w:after="283"/>
              <w:jc w:val="left"/>
              <w:rPr/>
            </w:pPr>
            <w:r>
              <w:rPr/>
              <w:t>% </w:t>
            </w:r>
          </w:p>
        </w:tc>
      </w:tr>
      <w:tr>
        <w:trPr/>
        <w:tc>
          <w:tcPr>
            <w:tcW w:w="3293" w:type="dxa"/>
            <w:tcBorders/>
          </w:tcPr>
          <w:p>
            <w:pPr>
              <w:pStyle w:val="TableContents"/>
              <w:bidi w:val="0"/>
              <w:spacing w:before="0" w:after="0"/>
              <w:jc w:val="left"/>
              <w:rPr>
                <w:rFonts w:ascii="Times New Roman" w:hAnsi="Times New Roman"/>
                <w:sz w:val="20"/>
              </w:rPr>
            </w:pPr>
            <w:r>
              <w:rPr>
                <w:rFonts w:ascii="Times New Roman" w:hAnsi="Times New Roman"/>
                <w:sz w:val="20"/>
              </w:rPr>
              <w:t>IQM Shares held by Public Shareholders</w:t>
            </w:r>
          </w:p>
        </w:tc>
        <w:tc>
          <w:tcPr>
            <w:tcW w:w="4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10,006,747</w:t>
            </w:r>
          </w:p>
        </w:tc>
        <w:tc>
          <w:tcPr>
            <w:tcW w:w="438" w:type="dxa"/>
            <w:tcBorders/>
            <w:vAlign w:val="bottom"/>
          </w:tcPr>
          <w:p>
            <w:pPr>
              <w:pStyle w:val="TableContents"/>
              <w:bidi w:val="0"/>
              <w:spacing w:before="0" w:after="283"/>
              <w:jc w:val="left"/>
              <w:rPr/>
            </w:pPr>
            <w:r>
              <w:rPr/>
              <w:t> </w:t>
            </w:r>
            <w:r>
              <w:rPr/>
              <w:t>(2) </w:t>
            </w:r>
          </w:p>
        </w:tc>
        <w:tc>
          <w:tcPr>
            <w:tcW w:w="3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right"/>
              <w:rPr/>
            </w:pPr>
            <w:r>
              <w:rPr/>
              <w:t>5.3</w:t>
            </w:r>
          </w:p>
        </w:tc>
        <w:tc>
          <w:tcPr>
            <w:tcW w:w="326"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held by RAAQ Insiders(3)</w:t>
            </w:r>
          </w:p>
        </w:tc>
        <w:tc>
          <w:tcPr>
            <w:tcW w:w="4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4,375,000</w:t>
            </w:r>
          </w:p>
        </w:tc>
        <w:tc>
          <w:tcPr>
            <w:tcW w:w="43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2.3</w:t>
            </w:r>
          </w:p>
        </w:tc>
        <w:tc>
          <w:tcPr>
            <w:tcW w:w="326" w:type="dxa"/>
            <w:tcBorders/>
            <w:shd w:fill="CCEEFF" w:val="clear"/>
            <w:vAlign w:val="bottom"/>
          </w:tcPr>
          <w:p>
            <w:pPr>
              <w:pStyle w:val="TableContents"/>
              <w:bidi w:val="0"/>
              <w:spacing w:before="0" w:after="283"/>
              <w:jc w:val="left"/>
              <w:rPr/>
            </w:pPr>
            <w:r>
              <w:rPr/>
              <w:t>% </w:t>
            </w:r>
          </w:p>
        </w:tc>
      </w:tr>
      <w:tr>
        <w:trPr/>
        <w:tc>
          <w:tcPr>
            <w:tcW w:w="3293" w:type="dxa"/>
            <w:tcBorders/>
          </w:tcPr>
          <w:p>
            <w:pPr>
              <w:pStyle w:val="TableContents"/>
              <w:bidi w:val="0"/>
              <w:spacing w:before="0" w:after="0"/>
              <w:jc w:val="left"/>
              <w:rPr>
                <w:rFonts w:ascii="Times New Roman" w:hAnsi="Times New Roman"/>
                <w:sz w:val="20"/>
              </w:rPr>
            </w:pPr>
            <w:r>
              <w:rPr>
                <w:rFonts w:ascii="Times New Roman" w:hAnsi="Times New Roman"/>
                <w:sz w:val="20"/>
              </w:rPr>
              <w:t>IQM Shares held by PIPE Investors</w:t>
            </w:r>
          </w:p>
        </w:tc>
        <w:tc>
          <w:tcPr>
            <w:tcW w:w="4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14,548,000</w:t>
            </w:r>
          </w:p>
        </w:tc>
        <w:tc>
          <w:tcPr>
            <w:tcW w:w="438"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right"/>
              <w:rPr/>
            </w:pPr>
            <w:r>
              <w:rPr/>
              <w:t>7.7</w:t>
            </w:r>
          </w:p>
        </w:tc>
        <w:tc>
          <w:tcPr>
            <w:tcW w:w="326" w:type="dxa"/>
            <w:tcBorders/>
            <w:vAlign w:val="bottom"/>
          </w:tcPr>
          <w:p>
            <w:pPr>
              <w:pStyle w:val="TableContents"/>
              <w:bidi w:val="0"/>
              <w:spacing w:before="0" w:after="283"/>
              <w:jc w:val="left"/>
              <w:rPr/>
            </w:pPr>
            <w:r>
              <w:rPr/>
              <w:t>% </w:t>
            </w:r>
          </w:p>
        </w:tc>
      </w:tr>
      <w:tr>
        <w:trPr/>
        <w:tc>
          <w:tcPr>
            <w:tcW w:w="3293"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6" w:type="dxa"/>
            <w:tcBorders/>
            <w:vAlign w:val="bottom"/>
          </w:tcPr>
          <w:p>
            <w:pPr>
              <w:pStyle w:val="TableContents"/>
              <w:pBdr>
                <w:top w:val="single" w:sz="2" w:space="1" w:color="000000"/>
              </w:pBdr>
              <w:bidi w:val="0"/>
              <w:spacing w:before="0" w:after="0"/>
              <w:jc w:val="left"/>
              <w:rPr/>
            </w:pPr>
            <w:r>
              <w:rPr/>
              <w:t> </w:t>
            </w:r>
          </w:p>
        </w:tc>
        <w:tc>
          <w:tcPr>
            <w:tcW w:w="438"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419"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32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IQM Shares</w:t>
            </w:r>
          </w:p>
        </w:tc>
        <w:tc>
          <w:tcPr>
            <w:tcW w:w="4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b/>
              </w:rPr>
            </w:pPr>
            <w:r>
              <w:rPr>
                <w:b/>
              </w:rPr>
              <w:t>188,692,107</w:t>
            </w:r>
          </w:p>
        </w:tc>
        <w:tc>
          <w:tcPr>
            <w:tcW w:w="43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b/>
              </w:rPr>
            </w:pPr>
            <w:r>
              <w:rPr>
                <w:b/>
              </w:rPr>
              <w:t>100.0</w:t>
            </w:r>
          </w:p>
        </w:tc>
        <w:tc>
          <w:tcPr>
            <w:tcW w:w="326" w:type="dxa"/>
            <w:tcBorders/>
            <w:shd w:fill="CCEEFF" w:val="clear"/>
            <w:vAlign w:val="bottom"/>
          </w:tcPr>
          <w:p>
            <w:pPr>
              <w:pStyle w:val="TableContents"/>
              <w:bidi w:val="0"/>
              <w:spacing w:before="0" w:after="283"/>
              <w:jc w:val="left"/>
              <w:rPr>
                <w:b/>
              </w:rPr>
            </w:pPr>
            <w:r>
              <w:rPr>
                <w:b/>
              </w:rPr>
              <w:t>% </w:t>
            </w:r>
          </w:p>
        </w:tc>
      </w:tr>
      <w:tr>
        <w:trPr/>
        <w:tc>
          <w:tcPr>
            <w:tcW w:w="3293"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6" w:type="dxa"/>
            <w:tcBorders/>
            <w:vAlign w:val="bottom"/>
          </w:tcPr>
          <w:p>
            <w:pPr>
              <w:pStyle w:val="TableContents"/>
              <w:pBdr>
                <w:top w:val="double" w:sz="6" w:space="1" w:color="000000"/>
              </w:pBdr>
              <w:bidi w:val="0"/>
              <w:spacing w:before="0" w:after="0"/>
              <w:jc w:val="left"/>
              <w:rPr/>
            </w:pPr>
            <w:r>
              <w:rPr/>
              <w:t> </w:t>
            </w:r>
          </w:p>
        </w:tc>
        <w:tc>
          <w:tcPr>
            <w:tcW w:w="438"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419"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IQM Shares held by IQM shareholders, following the conversion of the IQM preferred shares and the Share Split. The 159,762,360 IQM Shares are equal to the product of (x) 1,656,601 pre-share split IQM Shares, which is inclusive of 1,354,764 pre-shares split ordinary shares from the one-for-one conversion of IQM preferred shares, and (y) the Share Split Factor of approximately 96.44. The Share Split Factor was determined as the quotient of (a) 180,000,000 by (b) the 1,866,448 pre-share split shares issued and outstanding on a fully diluted basis. The 1,656,601 pre-share split shares reflects (i) the exercise of the IQM Series B Warrants for 43,092 pre-share split IQM Series B Shares which were then converted on a one-for-one basis into pre-share split IQM Shares and (ii) the conversion of the Aalto University Convertible Loans into 27,208 pre-share split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10,006,747 IQM Shares, representing 17,250,000 RAAQ Class A Ordinary Shares held by RAAQ Public Shareholders, of which the holders of 7,243,253 shares exercised their redemption rights in connection with the RAAQ EGM and such shares were redeemed by RAAQ upon the Closing. The remaining 10,006,747 shares were converted on a one-for-one basis into IQM Shares upon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4,240,000 RAAQ Class B Ordinary Shares held by the Sponsor before distributing them to its members, (ii) 75,000 RAAQ Class B Ordinary Shares held by RAAQ’s independent directors, and (iii) 60,000 RAAQ Class B Ordinary Shares held by RAAQ’s advisors. These 4,375,000 RAAQ Class B Ordinary shares were automatically converted on a one-for-one basis into RAAQ Class A Ordinary shares immediately prior to the Merger Effective Time. Upon Closing, these 4,375,000 RAAQ Class A Ordinary Shares were automatically converted into IQM Shares on a one-for-one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holder of IQM Shares is entitled to one vote per share. The former holders of IQM Pre-Share Split Ordinary Shares hold approximately 84.7% of the total voting rights.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accounted for under IFRS 2 as RAAQ was not considered to be a business under IFRS 3 as described in “Accounting Treatment for the Transaction.” This entry reflects the one-for-one conversion of RAAQ Class A Ordinary Shares issued and outstanding immediately prior to the Merger Effective Time into IQM ADSs, with each IQM ADS representing one IQM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difference in the fair value of IQM Shares issued to holders of RAAQ Class A Ordinary Shares in excess of the fair value of net identifiable assets of RAAQ represents a service cost for the listing of IQM Shares and is accounted for as a share-based payment in accordance with IFRS 2. The cost of the services, which is a non-cash expense, is 174.1 million ($198.3 million). Refer below for the calculation of the IFRS 2 share-based payment expense: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03"/>
        <w:gridCol w:w="303"/>
        <w:gridCol w:w="100"/>
        <w:gridCol w:w="944"/>
        <w:gridCol w:w="60"/>
        <w:gridCol w:w="303"/>
        <w:gridCol w:w="60"/>
        <w:gridCol w:w="1103"/>
        <w:gridCol w:w="60"/>
        <w:gridCol w:w="303"/>
        <w:gridCol w:w="60"/>
        <w:gridCol w:w="911"/>
        <w:gridCol w:w="162"/>
      </w:tblGrid>
      <w:tr>
        <w:trPr/>
        <w:tc>
          <w:tcPr>
            <w:tcW w:w="4203"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w:t>
              <w:br/>
              <w:t>Value*</w:t>
            </w:r>
            <w:r>
              <w:rPr/>
              <w:br/>
            </w:r>
            <w:r>
              <w:rPr>
                <w:b/>
              </w:rPr>
              <w:t>(at</w:t>
              <w:br/>
              <w:t>June 30,</w:t>
              <w:br/>
              <w:t>2026)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162"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Shareholders</w:t>
            </w:r>
          </w:p>
        </w:tc>
        <w:tc>
          <w:tcPr>
            <w:tcW w:w="30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11.23</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10,006,747</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112,421</w:t>
            </w:r>
          </w:p>
        </w:tc>
        <w:tc>
          <w:tcPr>
            <w:tcW w:w="162" w:type="dxa"/>
            <w:tcBorders/>
            <w:shd w:fill="CCEEFF" w:val="clear"/>
            <w:vAlign w:val="bottom"/>
          </w:tcPr>
          <w:p>
            <w:pPr>
              <w:pStyle w:val="TableContents"/>
              <w:bidi w:val="0"/>
              <w:spacing w:before="0" w:after="283"/>
              <w:jc w:val="left"/>
              <w:rPr/>
            </w:pPr>
            <w:r>
              <w:rPr/>
              <w:t> </w:t>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RAAQ Insiders</w:t>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11.23</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4,375,000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49,151</w:t>
            </w:r>
          </w:p>
        </w:tc>
        <w:tc>
          <w:tcPr>
            <w:tcW w:w="162" w:type="dxa"/>
            <w:tcBorders/>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14,381,747</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161,572</w:t>
            </w:r>
          </w:p>
        </w:tc>
        <w:tc>
          <w:tcPr>
            <w:tcW w:w="162" w:type="dxa"/>
            <w:tcBorders/>
            <w:shd w:fill="CCEEFF" w:val="clear"/>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Net liabilities of RAAQ(1)</w:t>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(12,507</w:t>
            </w:r>
          </w:p>
        </w:tc>
        <w:tc>
          <w:tcPr>
            <w:tcW w:w="162" w:type="dxa"/>
            <w:tcBorders/>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Excess of net liabilities</w:t>
            </w:r>
          </w:p>
        </w:tc>
        <w:tc>
          <w:tcPr>
            <w:tcW w:w="30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174,079</w:t>
            </w:r>
          </w:p>
        </w:tc>
        <w:tc>
          <w:tcPr>
            <w:tcW w:w="162" w:type="dxa"/>
            <w:tcBorders/>
            <w:shd w:fill="CCEEFF" w:val="clear"/>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liabilities of RAAQ is calculated as follows: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0"/>
        <w:gridCol w:w="230"/>
        <w:gridCol w:w="140"/>
        <w:gridCol w:w="777"/>
        <w:gridCol w:w="157"/>
        <w:gridCol w:w="203"/>
        <w:gridCol w:w="60"/>
        <w:gridCol w:w="777"/>
        <w:gridCol w:w="161"/>
      </w:tblGrid>
      <w:tr>
        <w:trPr/>
        <w:tc>
          <w:tcPr>
            <w:tcW w:w="770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00" w:type="dxa"/>
            <w:tcBorders/>
            <w:vAlign w:val="bottom"/>
          </w:tcPr>
          <w:p>
            <w:pPr>
              <w:pStyle w:val="TableContents"/>
              <w:bidi w:val="0"/>
              <w:spacing w:before="0" w:after="283"/>
              <w:jc w:val="left"/>
              <w:rPr>
                <w:i/>
              </w:rPr>
            </w:pPr>
            <w:r>
              <w:rPr>
                <w:i/>
              </w:rPr>
              <w:t>(in thousands)</w:t>
            </w:r>
          </w:p>
        </w:tc>
        <w:tc>
          <w:tcPr>
            <w:tcW w:w="230"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USD</w:t>
            </w:r>
          </w:p>
        </w:tc>
        <w:tc>
          <w:tcPr>
            <w:tcW w:w="15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EUR</w:t>
            </w:r>
          </w:p>
        </w:tc>
        <w:tc>
          <w:tcPr>
            <w:tcW w:w="161" w:type="dxa"/>
            <w:tcBorders/>
            <w:vAlign w:val="bottom"/>
          </w:tcPr>
          <w:p>
            <w:pPr>
              <w:pStyle w:val="TableContents"/>
              <w:bidi w:val="0"/>
              <w:spacing w:before="0" w:after="283"/>
              <w:jc w:val="left"/>
              <w:rPr/>
            </w:pPr>
            <w:r>
              <w:rPr/>
              <w:t> </w:t>
            </w:r>
          </w:p>
        </w:tc>
      </w:tr>
      <w:tr>
        <w:trPr/>
        <w:tc>
          <w:tcPr>
            <w:tcW w:w="77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Historical RAAQ IFRS net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RAAQ IFRS historical net liabilities (see Note 3)</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(6,812</w:t>
            </w:r>
          </w:p>
        </w:tc>
        <w:tc>
          <w:tcPr>
            <w:tcW w:w="15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(5,979</w:t>
            </w:r>
          </w:p>
        </w:tc>
        <w:tc>
          <w:tcPr>
            <w:tcW w:w="161" w:type="dxa"/>
            <w:tcBorders/>
            <w:vAlign w:val="bottom"/>
          </w:tcPr>
          <w:p>
            <w:pPr>
              <w:pStyle w:val="TableContents"/>
              <w:bidi w:val="0"/>
              <w:spacing w:before="0" w:after="283"/>
              <w:jc w:val="left"/>
              <w:rPr/>
            </w:pPr>
            <w:r>
              <w:rPr/>
              <w:t>) </w:t>
            </w:r>
          </w:p>
        </w:tc>
      </w:tr>
      <w:tr>
        <w:trPr/>
        <w:tc>
          <w:tcPr>
            <w:tcW w:w="7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Reduction of historical cash from payment of RAAQ transaction costs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(7,500</w:t>
            </w:r>
          </w:p>
        </w:tc>
        <w:tc>
          <w:tcPr>
            <w:tcW w:w="15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(6,582</w:t>
            </w:r>
          </w:p>
        </w:tc>
        <w:tc>
          <w:tcPr>
            <w:tcW w:w="161" w:type="dxa"/>
            <w:tcBorders/>
            <w:shd w:fill="CCEEFF" w:val="clear"/>
            <w:vAlign w:val="bottom"/>
          </w:tcPr>
          <w:p>
            <w:pPr>
              <w:pStyle w:val="TableContents"/>
              <w:bidi w:val="0"/>
              <w:spacing w:before="0" w:after="283"/>
              <w:jc w:val="left"/>
              <w:rPr/>
            </w:pPr>
            <w:r>
              <w:rPr/>
              <w:t>) </w:t>
            </w:r>
          </w:p>
        </w:tc>
      </w:tr>
      <w:tr>
        <w:trPr/>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Reduction of historical accrued expense from payment of transaction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64</w:t>
            </w:r>
          </w:p>
        </w:tc>
        <w:tc>
          <w:tcPr>
            <w:tcW w:w="15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7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Historical RAAQ IFRS net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(19,323</w:t>
            </w:r>
          </w:p>
        </w:tc>
        <w:tc>
          <w:tcPr>
            <w:tcW w:w="15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(16,446</w:t>
            </w:r>
          </w:p>
        </w:tc>
        <w:tc>
          <w:tcPr>
            <w:tcW w:w="161"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this entry reflects the elimination of RAAQ’s historical accumulated deficit of 6.0 million ($6.8 million) consisting of RAAQ’s historical accumulated deficit plus RAAQ’s transaction costs. RAAQ’s accumulated deficit is offset against capital reserves in the unaudited pro forma condensed combined statement of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ESOP Exercises and Redemptions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reflect the exercise for cash of 1,904 fully vested ESOP I share options (legacy terms) in connection with the Business Combination, which lapse if not exercised within 14 days of the Closing and which are assumed to be exercised in full. Cash proceeds of 74 thousand ($86 thousand), representing 1,904 options at an exercise price of 38.65 per option, have been recognized as an increase to cash and cash equivalents, and the related share-based payment reserve of 23 thousand ($27 thousand) has been reclassified within equity, such that the aggregate amount of 97 thousand ($114 thousand) is credited to the reserve for invested unrestricted equity. No adjustment has been recognized in the unaudited pro forma condensed combined statement of profit and loss. </w:t>
      </w:r>
    </w:p>
    <w:p>
      <w:pPr>
        <w:pStyle w:val="TextBody"/>
        <w:bidi w:val="0"/>
        <w:spacing w:before="120" w:after="0"/>
        <w:jc w:val="left"/>
        <w:rPr>
          <w:rFonts w:ascii="Times New Roman" w:hAnsi="Times New Roman"/>
          <w:sz w:val="20"/>
        </w:rPr>
      </w:pPr>
      <w:r>
        <w:rPr>
          <w:rFonts w:ascii="Times New Roman" w:hAnsi="Times New Roman"/>
          <w:sz w:val="20"/>
        </w:rPr>
        <w:t xml:space="preserve">To reflect the redemption for cash of 1,716 ESOP II share options upon the Closing in connection with the Business Combination. The redemption price of 556.57 per option was determined as the fair value of a pre-share split share derived from the PIPE issuance price of $964.40 per pre-share split share (translated at $1.00 = 0.8777, i.e. 846.41) less the exercise price of 289.84 per option, resulting in an aggregate cash settlement of 1.0 million ($1.1 million). As the redemption price equals the arm’s-length fair value of the awards at the redemption date, the settlement is accounted for as the repurchase of vested equity-settled share-based payment awards in accordance with IFRS 2.28(b), as a deduction from equity to the extent of the fair value of the awards, with no excess and therefore no charge to profit or loss. Because this liability had already been recognized at fair value in IQM’s historical statement of financial position, the pro forma adjustment reflects only its settlement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 a reduction in cash and cash equivalents of 881 thousand ($1.0 million) and a corresponding reduction of the employee benefits liability of 955 thousand ($1.1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D&amp;O</w:t>
            </w:r>
            <w:r>
              <w:rPr>
                <w:rFonts w:ascii="Times New Roman" w:hAnsi="Times New Roman"/>
                <w:sz w:val="20"/>
              </w:rPr>
              <w:t> </w:t>
            </w:r>
            <w:r>
              <w:rPr>
                <w:rFonts w:ascii="Times New Roman" w:hAnsi="Times New Roman"/>
                <w:i/>
                <w:sz w:val="20"/>
              </w:rPr>
              <w:t>&amp; POSI</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reflect the payment at the Closing of D&amp;O (directors’ and officers’ liability) and POSI (public offering of securities insurance) premiums of 6.3 million ($7.2 million), recognized as prepaid insurance, of which 3.4 million is presented within other current assets and 2.9 million within other non-current assets, reflecting the portion of coverage extending beyond twelve months. The premium will be amortized over the coverage period.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Condensed Combined Statement of Profit and Loss for the year ended December 31, 2025 and for the Six Month Ended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transaction costs of RAAQ for certain accounting, auditing, and other professional fees incurred in connection with the Business Combination that were not deemed to be specific incremental costs directly attributable to the offering of securities.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transaction costs of IQM for certain accounting, auditing, and other professional fees incurred in connection with the Business Combination that were not deemed to be specific incremental costs directly attributable to the offering of securities.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expense of the directors’ and officers’ (D&amp;O) liability insurance coverage maintained by RAAQ.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expense of the directors’ and officers’ (D&amp;O) liability and public offering of securities insurance (POSI) coverage procured by the combined entity. This is a 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removal of interest expense and fair value gains from financial liabilities for the Aalto University Convertible Loans in the amount of 0.8 million ($1.0 million) and 9.0 million ($10.5 million), respectively included within IQM’s historical statement of profit and loss for the year ended December 31, 2025. The pro forma adjustment gives effect to the conversion of the Aalto University Convertible Loans (see Note 4(e)) as if it had occurred on January 1, 2025; accordingly, no interest expense or derivative fair value adjustments would have been recorded during the period. This is a 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listing expense recognized under IFRS 2 in connection with the Business Combination, as discussed further in Note 4(k). As RAAQ does not constitute a business under IFRS 3, the transaction is accounted for as a capital transaction whereby IQM is deemed to issue equity in exchange for RAAQ’s net assets and the service of obtaining a stock exchange listing. The excess of the fair value of equity deemed issued over RAAQ’s net liabilities of 12.5 million (comprising RAAQ’s historical net liabilities of 6.0 million and pro forma adjustment 4(c) for RAAQ’s additional transaction costs of 6.6 million) is recognized as a listing expense in profit or loss.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elimination of historical income earned on RAAQ’s trust account, as the funds in the trust account were released at Closing. For purposes of making adjustments to the unaudited pro forma condensed combined statement of profit and loss, the release of the trust account (Note 4(a)) is assumed to have occurred on January 1, 2025. Accordingly, no interest income is reflected in the unaudited pro forma condensed combined statement of profit and loss for the year ended December 31, 2025. This is a recurring item.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application of the applicable statutory tax rate to the pro forma adjustments included in the unaudited pro forma condensed combined statement of profit and loss. The Finland statutory tax rate of 20% was applied to pro forma adjustments specific to IQM, and the United States statutory tax rate of 21% was applied to pro forma adjustments specific to RAAQ. No deferred tax benefit was recognized in respect of pro forma adjustments that increase the net loss, as recognition is not considered probable under IAS 12. The tax rate adjustment follows the nature of the underlying adjustments and is therefore both a recurring and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reversal of a portion of the change in fair value adjustment of the RAAQ private placement warrants held by the Sponsor in Note 3(d) as 1,544,019 warrants were forfeited. Refer to Note 4(i).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basic and diluted loss per share amounts presented in the unaudited pro forma condensed combined statement of profit and loss are based upon the number of IQM Shares outstanding upon the Closing of the Business Combination, assuming the Business Combination occurred on January 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 forma basic and diluted net loss per share attributable to IQM shareholders is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6"/>
        <w:gridCol w:w="213"/>
        <w:gridCol w:w="86"/>
        <w:gridCol w:w="1915"/>
        <w:gridCol w:w="159"/>
        <w:gridCol w:w="180"/>
        <w:gridCol w:w="60"/>
        <w:gridCol w:w="1303"/>
        <w:gridCol w:w="163"/>
      </w:tblGrid>
      <w:tr>
        <w:trPr/>
        <w:tc>
          <w:tcPr>
            <w:tcW w:w="612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2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63" w:type="dxa"/>
            <w:tcBorders/>
            <w:vAlign w:val="bottom"/>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9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loss (EUR)</w:t>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w:t>
            </w:r>
          </w:p>
        </w:tc>
        <w:tc>
          <w:tcPr>
            <w:tcW w:w="1915" w:type="dxa"/>
            <w:tcBorders/>
            <w:vAlign w:val="bottom"/>
          </w:tcPr>
          <w:p>
            <w:pPr>
              <w:pStyle w:val="TableContents"/>
              <w:bidi w:val="0"/>
              <w:spacing w:before="0" w:after="283"/>
              <w:jc w:val="right"/>
              <w:rPr/>
            </w:pPr>
            <w:r>
              <w:rPr/>
              <w:t>(262,969,000</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303" w:type="dxa"/>
            <w:tcBorders/>
            <w:vAlign w:val="bottom"/>
          </w:tcPr>
          <w:p>
            <w:pPr>
              <w:pStyle w:val="TableContents"/>
              <w:bidi w:val="0"/>
              <w:spacing w:before="0" w:after="283"/>
              <w:jc w:val="right"/>
              <w:rPr/>
            </w:pPr>
            <w:r>
              <w:rPr/>
              <w:t>(114,460,000</w:t>
            </w:r>
          </w:p>
        </w:tc>
        <w:tc>
          <w:tcPr>
            <w:tcW w:w="163" w:type="dxa"/>
            <w:tcBorders/>
            <w:vAlign w:val="bottom"/>
          </w:tcPr>
          <w:p>
            <w:pPr>
              <w:pStyle w:val="TableContents"/>
              <w:bidi w:val="0"/>
              <w:spacing w:before="0" w:after="283"/>
              <w:jc w:val="left"/>
              <w:rPr/>
            </w:pPr>
            <w:r>
              <w:rPr/>
              <w:t>) </w:t>
            </w:r>
          </w:p>
        </w:tc>
      </w:tr>
      <w:tr>
        <w:trPr/>
        <w:tc>
          <w:tcPr>
            <w:tcW w:w="612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9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RAAQ Class A Ordinary Shares subject to possible redemption into IQM Shares</w:t>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15" w:type="dxa"/>
            <w:tcBorders/>
            <w:vAlign w:val="bottom"/>
          </w:tcPr>
          <w:p>
            <w:pPr>
              <w:pStyle w:val="TableContents"/>
              <w:bidi w:val="0"/>
              <w:spacing w:before="0" w:after="283"/>
              <w:jc w:val="right"/>
              <w:rPr/>
            </w:pPr>
            <w:r>
              <w:rPr/>
              <w:t>10,006,747</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10,006,747</w:t>
            </w:r>
          </w:p>
        </w:tc>
        <w:tc>
          <w:tcPr>
            <w:tcW w:w="163" w:type="dxa"/>
            <w:tcBorders/>
            <w:vAlign w:val="bottom"/>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RAAQ Class A Ordinary Shares not subject to possible redemption (RAAQ Insiders) into IQM Shares</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15" w:type="dxa"/>
            <w:tcBorders/>
            <w:shd w:fill="CCEEFF" w:val="clear"/>
            <w:vAlign w:val="bottom"/>
          </w:tcPr>
          <w:p>
            <w:pPr>
              <w:pStyle w:val="TableContents"/>
              <w:bidi w:val="0"/>
              <w:spacing w:before="0" w:after="283"/>
              <w:jc w:val="right"/>
              <w:rPr/>
            </w:pPr>
            <w:r>
              <w:rPr/>
              <w:t>4,375,000</w:t>
            </w:r>
          </w:p>
        </w:tc>
        <w:tc>
          <w:tcPr>
            <w:tcW w:w="15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4,375,000</w:t>
            </w:r>
          </w:p>
        </w:tc>
        <w:tc>
          <w:tcPr>
            <w:tcW w:w="163" w:type="dxa"/>
            <w:tcBorders/>
            <w:shd w:fill="CCEEFF" w:val="clear"/>
            <w:vAlign w:val="bottom"/>
          </w:tcPr>
          <w:p>
            <w:pPr>
              <w:pStyle w:val="TableContents"/>
              <w:bidi w:val="0"/>
              <w:spacing w:before="0" w:after="283"/>
              <w:jc w:val="left"/>
              <w:rPr/>
            </w:pPr>
            <w:r>
              <w:rPr/>
              <w:t> </w:t>
            </w:r>
          </w:p>
        </w:tc>
      </w:tr>
      <w:tr>
        <w:trPr/>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IQM Shares outstanding following the Conversion and the Share Split</w:t>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15" w:type="dxa"/>
            <w:tcBorders/>
            <w:vAlign w:val="bottom"/>
          </w:tcPr>
          <w:p>
            <w:pPr>
              <w:pStyle w:val="TableContents"/>
              <w:bidi w:val="0"/>
              <w:spacing w:before="0" w:after="283"/>
              <w:jc w:val="right"/>
              <w:rPr/>
            </w:pPr>
            <w:r>
              <w:rPr/>
              <w:t>159,762,360</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159,762,360</w:t>
            </w:r>
          </w:p>
        </w:tc>
        <w:tc>
          <w:tcPr>
            <w:tcW w:w="163" w:type="dxa"/>
            <w:tcBorders/>
            <w:vAlign w:val="bottom"/>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IQM Shares to PIPE Investors</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15" w:type="dxa"/>
            <w:tcBorders/>
            <w:shd w:fill="CCEEFF" w:val="clear"/>
            <w:vAlign w:val="bottom"/>
          </w:tcPr>
          <w:p>
            <w:pPr>
              <w:pStyle w:val="TableContents"/>
              <w:bidi w:val="0"/>
              <w:spacing w:before="0" w:after="283"/>
              <w:jc w:val="right"/>
              <w:rPr/>
            </w:pPr>
            <w:r>
              <w:rPr/>
              <w:t>14,548,000</w:t>
            </w:r>
          </w:p>
        </w:tc>
        <w:tc>
          <w:tcPr>
            <w:tcW w:w="15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14,548,000</w:t>
            </w:r>
          </w:p>
        </w:tc>
        <w:tc>
          <w:tcPr>
            <w:tcW w:w="163" w:type="dxa"/>
            <w:tcBorders/>
            <w:shd w:fill="CCEEFF" w:val="clear"/>
            <w:vAlign w:val="bottom"/>
          </w:tcPr>
          <w:p>
            <w:pPr>
              <w:pStyle w:val="TableContents"/>
              <w:bidi w:val="0"/>
              <w:spacing w:before="0" w:after="283"/>
              <w:jc w:val="left"/>
              <w:rPr/>
            </w:pPr>
            <w:r>
              <w:rPr/>
              <w:t> </w:t>
            </w:r>
          </w:p>
        </w:tc>
      </w:tr>
      <w:tr>
        <w:trPr/>
        <w:tc>
          <w:tcPr>
            <w:tcW w:w="612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shares outstanding - basic and diluted</w:t>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15" w:type="dxa"/>
            <w:tcBorders/>
            <w:vAlign w:val="bottom"/>
          </w:tcPr>
          <w:p>
            <w:pPr>
              <w:pStyle w:val="TableContents"/>
              <w:bidi w:val="0"/>
              <w:spacing w:before="0" w:after="283"/>
              <w:jc w:val="right"/>
              <w:rPr/>
            </w:pPr>
            <w:r>
              <w:rPr/>
              <w:t>188,692,107</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188,692,107</w:t>
            </w:r>
          </w:p>
        </w:tc>
        <w:tc>
          <w:tcPr>
            <w:tcW w:w="163" w:type="dxa"/>
            <w:tcBorders/>
            <w:vAlign w:val="bottom"/>
          </w:tcPr>
          <w:p>
            <w:pPr>
              <w:pStyle w:val="TableContents"/>
              <w:bidi w:val="0"/>
              <w:spacing w:before="0" w:after="283"/>
              <w:jc w:val="left"/>
              <w:rPr/>
            </w:pPr>
            <w:r>
              <w:rPr/>
              <w:t> </w:t>
            </w:r>
          </w:p>
        </w:tc>
      </w:tr>
      <w:tr>
        <w:trPr/>
        <w:tc>
          <w:tcPr>
            <w:tcW w:w="612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net loss per share attributable to IQM Shares - basic and diluted</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(1.39</w:t>
            </w:r>
          </w:p>
        </w:tc>
        <w:tc>
          <w:tcPr>
            <w:tcW w:w="15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303" w:type="dxa"/>
            <w:tcBorders/>
            <w:shd w:fill="CCEEFF" w:val="clear"/>
            <w:vAlign w:val="bottom"/>
          </w:tcPr>
          <w:p>
            <w:pPr>
              <w:pStyle w:val="TableContents"/>
              <w:bidi w:val="0"/>
              <w:spacing w:before="0" w:after="283"/>
              <w:jc w:val="right"/>
              <w:rPr/>
            </w:pPr>
            <w:r>
              <w:rPr/>
              <w:t>(0.61</w:t>
            </w:r>
          </w:p>
        </w:tc>
        <w:tc>
          <w:tcPr>
            <w:tcW w:w="163" w:type="dxa"/>
            <w:tcBorders/>
            <w:shd w:fill="CCEEFF" w:val="clear"/>
            <w:vAlign w:val="bottom"/>
          </w:tcPr>
          <w:p>
            <w:pPr>
              <w:pStyle w:val="TableContents"/>
              <w:bidi w:val="0"/>
              <w:spacing w:before="0" w:after="283"/>
              <w:jc w:val="left"/>
              <w:rPr/>
            </w:pPr>
            <w:r>
              <w:rPr/>
              <w:t>) </w:t>
            </w:r>
          </w:p>
        </w:tc>
      </w:tr>
      <w:tr>
        <w:trPr/>
        <w:tc>
          <w:tcPr>
            <w:tcW w:w="612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91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securities were excluded from the computation of pro forma diluted net loss per share attributable to IQM shareholders for the year ended December 31, 2025, because including them would have had an anti-dilutive effect: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17"/>
        <w:gridCol w:w="606"/>
        <w:gridCol w:w="98"/>
        <w:gridCol w:w="1821"/>
        <w:gridCol w:w="413"/>
      </w:tblGrid>
      <w:tr>
        <w:trPr/>
        <w:tc>
          <w:tcPr>
            <w:tcW w:w="4817" w:type="dxa"/>
            <w:tcBorders/>
            <w:vAlign w:val="center"/>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817"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1919"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 2026</w:t>
            </w:r>
          </w:p>
        </w:tc>
        <w:tc>
          <w:tcPr>
            <w:tcW w:w="413" w:type="dxa"/>
            <w:tcBorders/>
            <w:vAlign w:val="bottom"/>
          </w:tcPr>
          <w:p>
            <w:pPr>
              <w:pStyle w:val="TableContents"/>
              <w:bidi w:val="0"/>
              <w:spacing w:before="0" w:after="283"/>
              <w:jc w:val="left"/>
              <w:rPr/>
            </w:pPr>
            <w:r>
              <w:rPr/>
              <w:t> </w:t>
            </w:r>
          </w:p>
        </w:tc>
      </w:tr>
      <w:tr>
        <w:trPr/>
        <w:tc>
          <w:tcPr>
            <w:tcW w:w="4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underlying the RAAQ private placement warrants</w:t>
            </w:r>
          </w:p>
        </w:tc>
        <w:tc>
          <w:tcPr>
            <w:tcW w:w="60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1" w:type="dxa"/>
            <w:tcBorders/>
            <w:shd w:fill="CCEEFF" w:val="clear"/>
            <w:vAlign w:val="bottom"/>
          </w:tcPr>
          <w:p>
            <w:pPr>
              <w:pStyle w:val="TableContents"/>
              <w:bidi w:val="0"/>
              <w:spacing w:before="0" w:after="283"/>
              <w:jc w:val="right"/>
              <w:rPr/>
            </w:pPr>
            <w:r>
              <w:rPr/>
              <w:t>3,905,981</w:t>
            </w:r>
          </w:p>
        </w:tc>
        <w:tc>
          <w:tcPr>
            <w:tcW w:w="413" w:type="dxa"/>
            <w:tcBorders/>
            <w:shd w:fill="CCEEFF" w:val="clear"/>
            <w:vAlign w:val="bottom"/>
          </w:tcPr>
          <w:p>
            <w:pPr>
              <w:pStyle w:val="TableContents"/>
              <w:bidi w:val="0"/>
              <w:spacing w:before="0" w:after="283"/>
              <w:jc w:val="left"/>
              <w:rPr/>
            </w:pPr>
            <w:r>
              <w:rPr/>
              <w:t> </w:t>
            </w:r>
            <w:r>
              <w:rPr/>
              <w:t>(1) </w:t>
            </w:r>
          </w:p>
        </w:tc>
      </w:tr>
      <w:tr>
        <w:trPr/>
        <w:tc>
          <w:tcPr>
            <w:tcW w:w="4817" w:type="dxa"/>
            <w:tcBorders/>
          </w:tcPr>
          <w:p>
            <w:pPr>
              <w:pStyle w:val="TableContents"/>
              <w:bidi w:val="0"/>
              <w:spacing w:before="0" w:after="0"/>
              <w:jc w:val="left"/>
              <w:rPr>
                <w:rFonts w:ascii="Times New Roman" w:hAnsi="Times New Roman"/>
                <w:sz w:val="20"/>
              </w:rPr>
            </w:pPr>
            <w:r>
              <w:rPr>
                <w:rFonts w:ascii="Times New Roman" w:hAnsi="Times New Roman"/>
                <w:sz w:val="20"/>
              </w:rPr>
              <w:t>IQM Shares underlying the RAAQ public warrants(2)</w:t>
            </w:r>
          </w:p>
        </w:tc>
        <w:tc>
          <w:tcPr>
            <w:tcW w:w="60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1" w:type="dxa"/>
            <w:tcBorders/>
            <w:vAlign w:val="bottom"/>
          </w:tcPr>
          <w:p>
            <w:pPr>
              <w:pStyle w:val="TableContents"/>
              <w:bidi w:val="0"/>
              <w:spacing w:before="0" w:after="283"/>
              <w:jc w:val="right"/>
              <w:rPr/>
            </w:pPr>
            <w:r>
              <w:rPr/>
              <w:t>8,624,994</w:t>
            </w:r>
          </w:p>
        </w:tc>
        <w:tc>
          <w:tcPr>
            <w:tcW w:w="413" w:type="dxa"/>
            <w:tcBorders/>
            <w:vAlign w:val="bottom"/>
          </w:tcPr>
          <w:p>
            <w:pPr>
              <w:pStyle w:val="TableContents"/>
              <w:bidi w:val="0"/>
              <w:spacing w:before="0" w:after="283"/>
              <w:jc w:val="left"/>
              <w:rPr/>
            </w:pPr>
            <w:r>
              <w:rPr/>
              <w:t> </w:t>
            </w:r>
          </w:p>
        </w:tc>
      </w:tr>
      <w:tr>
        <w:trPr/>
        <w:tc>
          <w:tcPr>
            <w:tcW w:w="4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underlying the IQM Options(3)</w:t>
            </w:r>
          </w:p>
        </w:tc>
        <w:tc>
          <w:tcPr>
            <w:tcW w:w="60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1" w:type="dxa"/>
            <w:tcBorders/>
            <w:shd w:fill="CCEEFF" w:val="clear"/>
            <w:vAlign w:val="bottom"/>
          </w:tcPr>
          <w:p>
            <w:pPr>
              <w:pStyle w:val="TableContents"/>
              <w:bidi w:val="0"/>
              <w:spacing w:before="0" w:after="283"/>
              <w:jc w:val="right"/>
              <w:rPr/>
            </w:pPr>
            <w:r>
              <w:rPr/>
              <w:t>19,222,105</w:t>
            </w:r>
          </w:p>
        </w:tc>
        <w:tc>
          <w:tcPr>
            <w:tcW w:w="413" w:type="dxa"/>
            <w:tcBorders/>
            <w:shd w:fill="CCEEFF" w:val="clear"/>
            <w:vAlign w:val="bottom"/>
          </w:tcPr>
          <w:p>
            <w:pPr>
              <w:pStyle w:val="TableContents"/>
              <w:bidi w:val="0"/>
              <w:spacing w:before="0" w:after="283"/>
              <w:jc w:val="left"/>
              <w:rPr/>
            </w:pPr>
            <w:r>
              <w:rPr/>
              <w:t> </w:t>
            </w:r>
          </w:p>
        </w:tc>
      </w:tr>
      <w:tr>
        <w:trPr/>
        <w:tc>
          <w:tcPr>
            <w:tcW w:w="4817" w:type="dxa"/>
            <w:tcBorders/>
          </w:tcPr>
          <w:p>
            <w:pPr>
              <w:pStyle w:val="TableContents"/>
              <w:bidi w:val="0"/>
              <w:spacing w:before="0" w:after="0"/>
              <w:jc w:val="left"/>
              <w:rPr>
                <w:rFonts w:ascii="Times New Roman" w:hAnsi="Times New Roman"/>
                <w:sz w:val="20"/>
              </w:rPr>
            </w:pPr>
            <w:r>
              <w:rPr>
                <w:rFonts w:ascii="Times New Roman" w:hAnsi="Times New Roman"/>
                <w:sz w:val="20"/>
              </w:rPr>
              <w:t>IQM Shares underlying the IQM Warrants(3)</w:t>
            </w:r>
          </w:p>
        </w:tc>
        <w:tc>
          <w:tcPr>
            <w:tcW w:w="60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1" w:type="dxa"/>
            <w:tcBorders/>
            <w:vAlign w:val="bottom"/>
          </w:tcPr>
          <w:p>
            <w:pPr>
              <w:pStyle w:val="TableContents"/>
              <w:bidi w:val="0"/>
              <w:spacing w:before="0" w:after="283"/>
              <w:jc w:val="right"/>
              <w:rPr/>
            </w:pPr>
            <w:r>
              <w:rPr/>
              <w:t>1,015,511</w:t>
            </w:r>
          </w:p>
        </w:tc>
        <w:tc>
          <w:tcPr>
            <w:tcW w:w="413" w:type="dxa"/>
            <w:tcBorders/>
            <w:vAlign w:val="bottom"/>
          </w:tcPr>
          <w:p>
            <w:pPr>
              <w:pStyle w:val="TableContents"/>
              <w:bidi w:val="0"/>
              <w:spacing w:before="0" w:after="283"/>
              <w:jc w:val="left"/>
              <w:rPr/>
            </w:pPr>
            <w:r>
              <w:rPr/>
              <w:t> </w:t>
            </w:r>
          </w:p>
        </w:tc>
      </w:tr>
      <w:tr>
        <w:trPr/>
        <w:tc>
          <w:tcPr>
            <w:tcW w:w="4817"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821"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r>
      <w:tr>
        <w:trPr/>
        <w:tc>
          <w:tcPr>
            <w:tcW w:w="48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anti-dilutive shares of IQM Shares</w:t>
            </w:r>
          </w:p>
        </w:tc>
        <w:tc>
          <w:tcPr>
            <w:tcW w:w="60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1" w:type="dxa"/>
            <w:tcBorders/>
            <w:shd w:fill="CCEEFF" w:val="clear"/>
            <w:vAlign w:val="bottom"/>
          </w:tcPr>
          <w:p>
            <w:pPr>
              <w:pStyle w:val="TableContents"/>
              <w:bidi w:val="0"/>
              <w:spacing w:before="0" w:after="283"/>
              <w:jc w:val="right"/>
              <w:rPr>
                <w:b/>
              </w:rPr>
            </w:pPr>
            <w:r>
              <w:rPr>
                <w:b/>
              </w:rPr>
              <w:t>32,768,591</w:t>
            </w:r>
          </w:p>
        </w:tc>
        <w:tc>
          <w:tcPr>
            <w:tcW w:w="413" w:type="dxa"/>
            <w:tcBorders/>
            <w:shd w:fill="CCEEFF" w:val="clear"/>
            <w:vAlign w:val="bottom"/>
          </w:tcPr>
          <w:p>
            <w:pPr>
              <w:pStyle w:val="TableContents"/>
              <w:bidi w:val="0"/>
              <w:spacing w:before="0" w:after="283"/>
              <w:jc w:val="left"/>
              <w:rPr/>
            </w:pPr>
            <w:r>
              <w:rPr/>
              <w:t> </w:t>
            </w:r>
          </w:p>
        </w:tc>
      </w:tr>
      <w:tr>
        <w:trPr/>
        <w:tc>
          <w:tcPr>
            <w:tcW w:w="4817"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821"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2,180,981 RAAQ private placement warrants issued and outstanding immediately prior to the Closing and retained by the Sponsor, following the forfeiture for no consideration of 1,544,019 RAAQ private placement warrants pursuant to the Sponsor Support Agreement, and 1,725,000 RAAQ private placement warrants issued and outstanding immediately prior to the Closing held by Underwriters. These warrants were assumed by IQM at the Closing and became exercisable for 3,905,981 IQM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8,624,994 RAAQ public warrants issued and outstanding immediately prior to the Closing held by Public Shareholders which were assumed by IQM at the Closing and became exercisable for 8,624,994 IQM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19,222,105 and 1,015,511 IQM Shares underlying the IQM Options (including IQM Options that were redeemed in connection with the Closing) and Kreos Capital warrants, respectively, outstanding immediately prior to the Closing following the Share Split each exercisable for one IQM Share. Immediately prior to the Share Split, there were 199,317 and 10,530 IQM Shares underlying the IQM Options (including IQM Options that were to be redeemed in connection with the Closing) and Kreos Capital warrants,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6013_15"/>
      <w:bookmarkEnd w:id="17"/>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Mission </w:t>
      </w:r>
    </w:p>
    <w:p>
      <w:pPr>
        <w:pStyle w:val="TextBody"/>
        <w:bidi w:val="0"/>
        <w:spacing w:before="120" w:after="0"/>
        <w:jc w:val="left"/>
        <w:rPr>
          <w:rFonts w:ascii="Times New Roman" w:hAnsi="Times New Roman"/>
          <w:sz w:val="20"/>
        </w:rPr>
      </w:pPr>
      <w:r>
        <w:rPr>
          <w:rFonts w:ascii="Times New Roman" w:hAnsi="Times New Roman"/>
          <w:sz w:val="20"/>
        </w:rPr>
        <w:t xml:space="preserve">We build world-leading quantum computers for the wellbeing of humankind, now and for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collective, team-driven culture is focused on tangible value creation and delivering real systems. We have global ambitions and are committed to technological leadership through rigorous, science-driven innovation and product development. We are delivering real progress toward quantum advantage today, while building the foundation for the long-term transformation of advanced computing through unlocking a wide variety of commercial use cases.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rPr>
      </w:pPr>
      <w:r>
        <w:rPr>
          <w:rFonts w:ascii="Times New Roman" w:hAnsi="Times New Roman"/>
          <w:sz w:val="2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Amazon Web Services’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strongly rooted in quantum research and has benefitted from the strong quantum ecosystem in Finland and Europe. In the field of superconducting chip production, we partner with VTT, the technical research center of Finland, and LRZ, a high-performance computing and research infrastructure center in Germany. In the field of high-performance computing, we partner with CSC – IT Center for Science, which runs the Finnish supercomputer LUMI. On the European level, we have benefitted from large research projects like the EU Quantum Flagship or the EU Chips Act as well as from collaborations with other leading universities and research institutions like Technical University Munich, CEA Leti, and Fraunhofer. More recently, we have entered into research partnerships outside Europe, for example with UC Berkeley in the United States and IMRE in Singapore. </w:t>
      </w:r>
    </w:p>
    <w:p>
      <w:pPr>
        <w:pStyle w:val="TextBody"/>
        <w:bidi w:val="0"/>
        <w:spacing w:before="240" w:after="0"/>
        <w:jc w:val="left"/>
        <w:rPr>
          <w:rFonts w:ascii="Times New Roman" w:hAnsi="Times New Roman"/>
          <w:sz w:val="20"/>
        </w:rPr>
      </w:pPr>
      <w:r>
        <w:rPr>
          <w:rFonts w:ascii="Times New Roman" w:hAnsi="Times New Roman"/>
          <w:sz w:val="20"/>
        </w:rPr>
        <w:t xml:space="preserve">We remain in the early stages of our commercial growth and believe there is significant opportunity for further growth. For the six months ended June 30, 2026 and 2025, we generated revenue of 8.9 million and 6.0 million, respectively. For the six months ended June 30, 2026 and 2025, our net loss was 74.9 million and 34.6 million, respectively. We have incurred significant operating losses since inception, and we expect to continue to incur significant losses for the foreseeable future as we continue to invest in research and development programs and commercial expansion. As of June 30, 2026, we had an accumulated deficit of 307.1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operates as a single operating and reportable segment. This determination is based on how the chief operating decision maker, our Chief Executive Officer, reviews financial information for purposes of making operating decisions, assessing financial performance and allocating resources. </w:t>
      </w:r>
    </w:p>
    <w:p>
      <w:pPr>
        <w:pStyle w:val="TextBody"/>
        <w:bidi w:val="0"/>
        <w:spacing w:before="360" w:after="0"/>
        <w:jc w:val="left"/>
        <w:rPr>
          <w:rFonts w:ascii="Times New Roman" w:hAnsi="Times New Roman"/>
          <w:b/>
          <w:sz w:val="20"/>
        </w:rPr>
      </w:pPr>
      <w:r>
        <w:rPr>
          <w:rFonts w:ascii="Times New Roman" w:hAnsi="Times New Roman"/>
          <w:b/>
          <w:sz w:val="20"/>
        </w:rPr>
        <w:t xml:space="preserve">Our Industry and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Classical computing has enabled many of humankind’s most significant advances over the past century, with progress accelerating in recent years, particularly through AI and generative AI. However, this pace is increasingly constrained by fundamental scaling, power, and cost limits due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slowing of traditional transistor- and power-scaling trends due to the diminishing benefits of Moore’s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persistent classes of problems that remain computationally intractable on classical architectures within practical time and cost limits due to their exponential scaling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growing energy and power-density constraints particularly as AI accelerates data-center electricity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rising unit economics at leading-edge silicon nodes, with reported advanced-wafer costs increasing materially.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Quantum computing is one of the potential solutions to these constraints. It leverages principles of quantum mechanics to perform certain computations more efficiently than classical computers and, as a result, has the potential to help address certain scaling, performance, and energy constraints faced by classical computing architecture. Classical computers process information using binary bits that represent either a 0 or a 1. Quantum computers instead use qubits, which can exist in superpositions of multiple states simultaneously and can exhibit quantum entanglement. These properties enable quantum systems to explore certain computational problem spaces in ways that are not feasible using conventional computing architectures. </w:t>
      </w:r>
    </w:p>
    <w:p>
      <w:pPr>
        <w:pStyle w:val="TextBody"/>
        <w:bidi w:val="0"/>
        <w:spacing w:before="240" w:after="0"/>
        <w:jc w:val="left"/>
        <w:rPr>
          <w:rFonts w:ascii="Times New Roman" w:hAnsi="Times New Roman"/>
          <w:sz w:val="20"/>
        </w:rPr>
      </w:pPr>
      <w:r>
        <w:rPr>
          <w:rFonts w:ascii="Times New Roman" w:hAnsi="Times New Roman"/>
          <w:sz w:val="20"/>
        </w:rPr>
        <w:t xml:space="preserve">Quantum computers are generally expected to operate alongside classical computing resources such as central processing units (“CPUs”) and graphics processing units (“GPUs”). In these hybrid architectures, classical systems coordinate computational workflows while quantum processors execute specialized and complex subroutines that are difficult for classical systems. As a result, quantum processors are generally expected to function as specialized accelerators integrated with broader computing environments rather than as replacements for classical computers. </w:t>
      </w:r>
    </w:p>
    <w:p>
      <w:pPr>
        <w:pStyle w:val="TextBody"/>
        <w:bidi w:val="0"/>
        <w:spacing w:before="240" w:after="0"/>
        <w:jc w:val="left"/>
        <w:rPr>
          <w:rFonts w:ascii="Times New Roman" w:hAnsi="Times New Roman"/>
          <w:sz w:val="20"/>
        </w:rPr>
      </w:pPr>
      <w:r>
        <w:rPr>
          <w:rFonts w:ascii="Times New Roman" w:hAnsi="Times New Roman"/>
          <w:sz w:val="20"/>
        </w:rPr>
        <w:t xml:space="preserve">Over the past decade, development of quantum computing technologies has accelerated significantly. Multiple hardware approaches are currently being pursued by industry participants, including superconducting circuits, trapped ions, neutral atoms, photonic systems, and semiconductor spin qubits among others. Each modality presents different trade-offs with respect to qubit coherence, gate speed and fidelity, scalability, system complexity, and manufacturing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Governments, multinational technology companies, research institutions, and venture-backed companies have made substantial investments in quantum research and development. Governments globally (including the United States, Europe, Asia and elsewhere) have launched national initiatives to support the development of domestic quantum capabilities, with publicly announced government investments totaling $1.8 billion in 2024 and exceeding $10.0 billion in early 2025. Quantum computing company revenues have grown at approximately 40% CAGR, increasing from $200–$250 million in 2021 to $650–$750 million in 2024, and are expected to exceed $1.0 billion in 2025 (according to third-party market data). Continued improvements in qubit performance, system reliability, and error correction are expected to further influence the pace of adoption and the emergence of commercially viable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we are well-positioned to benefit from the development of quantum computing technology. </w:t>
      </w:r>
    </w:p>
    <w:p>
      <w:pPr>
        <w:pStyle w:val="TextBody"/>
        <w:bidi w:val="0"/>
        <w:spacing w:before="240" w:after="0"/>
        <w:jc w:val="left"/>
        <w:rPr>
          <w:rFonts w:ascii="Times New Roman" w:hAnsi="Times New Roman"/>
          <w:sz w:val="20"/>
        </w:rPr>
      </w:pPr>
      <w:r>
        <w:rPr>
          <w:rFonts w:ascii="Times New Roman" w:hAnsi="Times New Roman"/>
          <w:sz w:val="20"/>
        </w:rPr>
        <w:t xml:space="preserve">Industry analysts and research organizations have suggested that quantum computing could create significant long-term economic value if scalable and fault-tolerant systems are achieved and broadly adopted. Some studies estimate that quantum computing could generate more than $1 trillion to $2 trillion in cumulative economic value globally over the coming decades through productivity gains, cost reductions, and new capabilities across multiple industries with rapid acceleration expected between 2025-30. Specifically, the estimated addressable markets for quantum-enabled applications are concentrated in four areas: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$400–$600 billion in financial services, including portfolio optimization, credit risk, and financial crime detection;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$200–$500 billion in optimization of logistics and supply chains;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$150–$600 billion in simulation and discovery applications for materials, chemicals, and pharmaceuticals;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$150–$300 billion in cryptography and cybersecurity; partly of which is expected to be delivered through hybrid, machine-learning–driven workflows.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near term, adoption of quantum computing technologies has been concentrated in research institutions, government-supported programs, and HPC centers. This adoption is driven in part by universities seeking access to quantum systems to support talent development, and by national laboratories and HPC operators procuring systems to advance innovation and catalyze local ecosystems. These early deployments are typically oriented toward experimentation, quantum algorithm development, and evaluation of potential use cases. Over time, improvements in hardware performance, advances in quantum error correction, and deeper integration with classical computing infrastructure are expected to support broader enterprise adoption. </w:t>
      </w:r>
    </w:p>
    <w:p>
      <w:pPr>
        <w:pStyle w:val="TextBody"/>
        <w:bidi w:val="0"/>
        <w:spacing w:before="240" w:after="0"/>
        <w:jc w:val="left"/>
        <w:rPr>
          <w:rFonts w:ascii="Times New Roman" w:hAnsi="Times New Roman"/>
          <w:sz w:val="20"/>
        </w:rPr>
      </w:pPr>
      <w:r>
        <w:rPr>
          <w:rFonts w:ascii="Times New Roman" w:hAnsi="Times New Roman"/>
          <w:sz w:val="20"/>
        </w:rPr>
        <w:t xml:space="preserve">The pace and scale of industry growth will depend on several factors, including continued technical progress in hardware and middleware, particularly in error correction; scalable manufacturing capacity leveraging established processes and technologies; the development of useful algorithms and software tools; integration with classical computing infrastructure; and sustained investment from both public and private sectors.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Our goal is to be a global quantum computing leader. We are focused on the following three strategic pillars to achieve our goal.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Deliver best-in-class quantum computers and solutions.</w:t>
            </w:r>
            <w:r>
              <w:rPr>
                <w:rFonts w:ascii="Times New Roman" w:hAnsi="Times New Roman"/>
                <w:sz w:val="20"/>
              </w:rPr>
              <w:t xml:space="preserve"> We seek to deliver robust, high-performance quantum computers and related solutions designed to meet the evolving requirements of research institutions, national programs, and enterprise customers. We focus on achieving strong system performance through continued development of quantum processing units (“QPUs”), full-stack system architecture (including quantum error correction), cloud platform and associated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quantum systems set the pace of industry innovation, and that early delivery of advanced systems can enable customers to build capabilities and applications on its platform, potentially creating durable ecosystem and switching-cost advantages. Accordingly, the Company prioritizes execution of its technology roadmap and continued improvement of its quantum computers.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Support the development of the quantum ecosystem.</w:t>
            </w:r>
            <w:r>
              <w:rPr>
                <w:rFonts w:ascii="Times New Roman" w:hAnsi="Times New Roman"/>
                <w:sz w:val="20"/>
              </w:rPr>
              <w:t xml:space="preserve"> We believe that developing a robust quantum computing ecosystem is critical to unlocking the full potential of quantum technologies, including advancing key components tailored to quantum computers and establishing a resilient supply chain. We therefore work with research institutions, government agencies, industry partners, and other stakeholders to accelerate the development of core components, tools, applications, and infrastructure supporting quantum computing.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systems are designed as stable, modular, transparent (“white-box”), and scalable platforms that enable partners and customers to collaborate on the development of quantum computing technologies and applications. Through these collaborations, we aim to support co-development and co-innovation with organizations engaged in quantum research and industrial deployment, which can facilitate a feedback loop between customer research and development activities and our ongoing technological innovation. </w:t>
      </w:r>
    </w:p>
    <w:p>
      <w:pPr>
        <w:pStyle w:val="TextBody"/>
        <w:bidi w:val="0"/>
        <w:spacing w:before="240" w:after="0"/>
        <w:jc w:val="left"/>
        <w:rPr>
          <w:rFonts w:ascii="Times New Roman" w:hAnsi="Times New Roman"/>
          <w:sz w:val="20"/>
        </w:rPr>
      </w:pPr>
      <w:r>
        <w:rPr>
          <w:rFonts w:ascii="Times New Roman" w:hAnsi="Times New Roman"/>
          <w:sz w:val="20"/>
        </w:rPr>
        <w:t xml:space="preserve">We also seek to establish ourselves as a trusted partner with neutral sovereignty for national and international quantum initiatives and large enterprises pursuing quantum technology programs to build the ecosystem. In addition, we support ecosystem development through education, collaboration initiatives, and technology tools designed to enable organizations to build internal capabilities in quantum computing. We also believe that maintaining strategic flexibility, including the ability to pursue mergers and acquisitions, may strengthen vertical integration and improve capital efficiency as the quantum computing industry evolves. </w:t>
      </w:r>
    </w:p>
    <w:p>
      <w:pPr>
        <w:pStyle w:val="TextBody"/>
        <w:bidi w:val="0"/>
        <w:spacing w:before="240" w:after="0"/>
        <w:jc w:val="left"/>
        <w:rPr>
          <w:rFonts w:ascii="Times New Roman" w:hAnsi="Times New Roman"/>
          <w:sz w:val="20"/>
        </w:rPr>
      </w:pPr>
      <w:r>
        <w:rPr>
          <w:rFonts w:ascii="Times New Roman" w:hAnsi="Times New Roman"/>
          <w:sz w:val="20"/>
        </w:rPr>
        <w:t xml:space="preserve">We have historically derived, and expect to continue to derive, a significant portion of our revenue from contracts with universities, national research institutions and other public sources, including the European Union’s EuroHPC Joint Undertaking funding program, either directly by us, as part of a consortium or through resellers. For the six months ended June 30, 2026 and 2025, respectively, sales to the public sector comprised 98.0% and 99.5% of our total revenue,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Accelerate the adoption of quantum computing technologies.</w:t>
            </w:r>
            <w:r>
              <w:rPr>
                <w:rFonts w:ascii="Times New Roman" w:hAnsi="Times New Roman"/>
                <w:sz w:val="20"/>
              </w:rPr>
              <w:t xml:space="preserve"> We aim to accelerate adoption by demonstrating repeatable quantum advantage on real-world industry problems and improving system usability to help transition the market from early-stage research adoption to scalable enterprise deployment with greater willingness to pay. We enable organizations to explore and deploy quantum computing solutions through intuitive and accessible user experiences across both on-premises and cloud-based environments. We believe that seamless integration with existing computing infrastructure and simplified user interfaces can reduce barriers to adoption.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focused on delivering reliable, production-grade quantum computers that are designed to support long-term operational use. As the technology matures, we aim to develop standardized and cost-efficient quantum computing solutions that enable broader adoption across industries. We believe that increasing accessibility to quantum computing tools, education, and collaborative platforms will help organizations develop internal expertise and accelerate the development of practical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As we continue to execute on our strategy, we believe we will benefit from a virtuous cycle in which our quantum computers and solutions provide a reliable, competitive platform for partners and customers, driving adoption of quantum computing technologies, which will further encourage investment in quantum computing and thereby accelerate our product roadmap. </w:t>
      </w:r>
    </w:p>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left"/>
        <w:rPr>
          <w:rFonts w:ascii="Times New Roman" w:hAnsi="Times New Roman"/>
          <w:sz w:val="20"/>
        </w:rPr>
      </w:pPr>
      <w:r>
        <w:rPr>
          <w:rFonts w:ascii="Times New Roman" w:hAnsi="Times New Roman"/>
          <w:sz w:val="20"/>
        </w:rPr>
        <w:t xml:space="preserve">We organize our competitive strengths around a framework of strategic priorities, referred to as UNITE: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Unlocking Quantum Advantage:</w:t>
            </w:r>
            <w:r>
              <w:rPr>
                <w:rFonts w:ascii="Times New Roman" w:hAnsi="Times New Roman"/>
                <w:sz w:val="20"/>
              </w:rPr>
              <w:t xml:space="preserve"> We develop universal, gate-model quantum computers based on the superconducting modality in order to meet the performance and reliability requirements of commercial problem sets. Quantum systems require tight integration across the QPU, control hardware, middleware, and software. Our systems have demonstrated a two-qubit gate fidelity of 99.93%, and our proprietary quantum error correction protocol will require 10x fewer physical qubits per logical qubit than the surface code. Our full-stack, vertically integrated approach enables end-to-end system optimization by balancing trade-offs across layers to maximize overall performance rather than optimizing components in isolation. We develop hardware-efficient algorithms and system engineering approaches designed to reduce hardware requirements and improve the efficiency of quantum computations. As of July 31, 2026, our intellectual property portfolio included 170 active patent families representing 339 patent applications and 130 issued patents worldwide. In addition,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portfolio includes 25 trade secrets, 8 registered utility models, 14 design registrations and 44 trademark registrations covering our corporate brand, product names and system designs. These efforts are intended to support our long-term roadmap toward scalable and fault-tolerant quantum computers.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No.</w:t>
            </w:r>
            <w:r>
              <w:rPr>
                <w:rFonts w:ascii="Times New Roman" w:hAnsi="Times New Roman"/>
                <w:sz w:val="20"/>
              </w:rPr>
              <w:t> </w:t>
            </w:r>
            <w:r>
              <w:rPr>
                <w:rFonts w:ascii="Times New Roman" w:hAnsi="Times New Roman"/>
                <w:b/>
                <w:sz w:val="20"/>
              </w:rPr>
              <w:t>1 for customers:</w:t>
            </w:r>
            <w:r>
              <w:rPr>
                <w:rFonts w:ascii="Times New Roman" w:hAnsi="Times New Roman"/>
                <w:sz w:val="20"/>
              </w:rPr>
              <w:t xml:space="preserve"> We have delivered our full stack, open architecture on-premises quantum computers globally to a diverse customer base, including universities, HPC environments, and data centers. We have observed repeat purchases from certain customers as higher-capability systems become available. Our customer delivery includes both installation on customer site and customer services such as maintenance. We also provide access to our quantum computers through our cloud platform. In 2025, IQM generated revenue from 22 unique customers compared to eight unique customers in 2024. IQM’s customers are geographically diverse, coming from countries across Europe, APAC, North America and the Middle East. In each of 2025 and 2024, four customers individually contributed to 10% or more of total revenue during the respective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Industrial strength:</w:t>
            </w:r>
            <w:r>
              <w:rPr>
                <w:rFonts w:ascii="Times New Roman" w:hAnsi="Times New Roman"/>
                <w:sz w:val="20"/>
              </w:rPr>
              <w:t xml:space="preserve"> Our vertically integrated infrastructure, including chip design, fabrication, system assembly, and data center operations allows us to maintain close feedback loops between hardware development, manufacturing, and system deployment. This integrated approach accelerates technology development, improves system reliability, and supports scalable production of quantum computers. We complement our internal infrastructure with a network of technology partners across the value chain, including partners in research and development, system integration, and cloud infrastructure. These partnerships are intended to diversify the supply chain, support system deployment, and enable integration of quantum computers into broader computing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Transforming to scale:</w:t>
            </w:r>
            <w:r>
              <w:rPr>
                <w:rFonts w:ascii="Times New Roman" w:hAnsi="Times New Roman"/>
                <w:sz w:val="20"/>
              </w:rPr>
              <w:t xml:space="preserve"> In addition to financing activities, we are funding our global expansion through commercial growth. Our revenue for the year ended December 31, 2025 was 31.3 million and for the six months ended June 30, 2026 was 8.9 million, and we have a strong order backlog of over 67 million. While we intend to continue to raise capital, we expect customer adoption to continue to provide significant resources to accelerate the development of our product roadmap.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Empowering our people:</w:t>
            </w:r>
            <w:r>
              <w:rPr>
                <w:rFonts w:ascii="Times New Roman" w:hAnsi="Times New Roman"/>
                <w:sz w:val="20"/>
              </w:rPr>
              <w:t xml:space="preserve"> Our team includes more than 400 employees representing over 55 nationalities, with a significant portion of employees holding advanced degrees in physics, engineering and related technical fields. Our workforce includes physicists, engineers, software developers and semiconductor specialists with experience in quantum computing, cryogenic systems, high-performance computing and related disciplines. We benefit from our presence in Europe, which we believe provides access to a deep and concentrated pool of scientific talent and associated research institutions that are active in quantum technologies.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Technology </w:t>
      </w:r>
    </w:p>
    <w:p>
      <w:pPr>
        <w:pStyle w:val="TextBody"/>
        <w:bidi w:val="0"/>
        <w:spacing w:before="120" w:after="0"/>
        <w:jc w:val="left"/>
        <w:rPr>
          <w:rFonts w:ascii="Times New Roman" w:hAnsi="Times New Roman"/>
          <w:sz w:val="20"/>
        </w:rPr>
      </w:pPr>
      <w:r>
        <w:rPr>
          <w:rFonts w:ascii="Times New Roman" w:hAnsi="Times New Roman"/>
          <w:sz w:val="20"/>
        </w:rPr>
        <w:t xml:space="preserve">Superconducting quantum computers represent one of the most widely developed approaches in the industry and are used by several leading technology companies and research institutions. These systems utilize superconducting circuits fabricated using established semiconductor manufacturing techniques and typically operate at commercially available cryogenic temperatures to enable quantum behavior. </w:t>
      </w:r>
    </w:p>
    <w:p>
      <w:pPr>
        <w:pStyle w:val="TextBody"/>
        <w:bidi w:val="0"/>
        <w:spacing w:before="240" w:after="0"/>
        <w:jc w:val="left"/>
        <w:rPr>
          <w:rFonts w:ascii="Times New Roman" w:hAnsi="Times New Roman"/>
          <w:sz w:val="20"/>
        </w:rPr>
      </w:pPr>
      <w:r>
        <w:rPr>
          <w:rFonts w:ascii="Times New Roman" w:hAnsi="Times New Roman"/>
          <w:sz w:val="20"/>
        </w:rPr>
        <w:t xml:space="preserve">We believe superconducting technology offers several advantages, including high-speed quantum gate operations, strong qubit performance including but not limited to error correction result and the ability to manufacture quantum processors using semiconductor fabrication techniques. </w:t>
      </w:r>
    </w:p>
    <w:p>
      <w:pPr>
        <w:pStyle w:val="TextBody"/>
        <w:bidi w:val="0"/>
        <w:spacing w:before="240" w:after="0"/>
        <w:jc w:val="left"/>
        <w:rPr>
          <w:rFonts w:ascii="Times New Roman" w:hAnsi="Times New Roman"/>
          <w:sz w:val="20"/>
        </w:rPr>
      </w:pPr>
      <w:r>
        <w:rPr>
          <w:rFonts w:ascii="Times New Roman" w:hAnsi="Times New Roman"/>
          <w:sz w:val="20"/>
        </w:rPr>
        <w:t xml:space="preserve">We develop quantum processors based on transmon-style superconducting qubits and has created proprietary chip architectures and system designs intended to support improvements in qubit fidelity, system stability, and scalability. These include a hybrid chip architecture which allocates dedicated regions for quantum error-corrected memory and for high-speed logical operations, incorporating multiple connectivity patterns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optimize performance across workload types. In internal demonstrations, we have achieved 2-qubit fidelity of 99.93%, which it believes is broadly consistent with peer-reported results. We are also developing modular scaling approaches using chiplet-based architectures that allow multiple processor tiles to be connected and operated together. </w:t>
      </w:r>
    </w:p>
    <w:p>
      <w:pPr>
        <w:pStyle w:val="TextBody"/>
        <w:bidi w:val="0"/>
        <w:spacing w:before="240" w:after="0"/>
        <w:jc w:val="left"/>
        <w:rPr>
          <w:rFonts w:ascii="Times New Roman" w:hAnsi="Times New Roman"/>
          <w:sz w:val="20"/>
        </w:rPr>
      </w:pPr>
      <w:r>
        <w:rPr>
          <w:rFonts w:ascii="Times New Roman" w:hAnsi="Times New Roman"/>
          <w:sz w:val="20"/>
        </w:rPr>
        <w:t xml:space="preserve">Our systems are designed with open and modular architectures that allow integration with existing high-performance computing clusters. We believe that such integration is critical for enabling hybrid quantum–classical computing workflows and for supporting real-world computational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systems and platforms are designed to provide open access and transparent workflows, rather than a “black box” user experience. We believe this approach supports ecosystem development by enabling partners and customers to contribute to technology improvements, including and not limited to the control stack and middleware, as well as applications and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w:t>
      </w:r>
    </w:p>
    <w:p>
      <w:pPr>
        <w:pStyle w:val="TextBody"/>
        <w:bidi w:val="0"/>
        <w:spacing w:before="120" w:after="0"/>
        <w:jc w:val="left"/>
        <w:rPr>
          <w:rFonts w:ascii="Times New Roman" w:hAnsi="Times New Roman"/>
          <w:sz w:val="20"/>
        </w:rPr>
      </w:pPr>
      <w:r>
        <w:rPr>
          <w:rFonts w:ascii="Times New Roman" w:hAnsi="Times New Roman"/>
          <w:sz w:val="20"/>
        </w:rPr>
        <w:t xml:space="preserve">We offer a portfolio of quantum computers designed for different customer segments’ needs and use cases,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Spark system is a five-qubit quantum computer designed primarily for education and research environments. Spark systems are offered at a price point intended to enable universities and research institutions to deploy quantum computing infrastructure for teaching and early-stage experimentation.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Radiance system is designed for high-performance computing centers and is offered as an upgradeable platform, with systems currently spanning configurations from approximately 20 to 150 qubits. Radiance systems are typically deployed within supercomputing environments where quantum processors can operate alongside classical computing resources such as CPUs and GPUs.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Halocene system represents the next generation of our architecture and is designed to scale beyond 150 qubits while incorporating quantum error correction capabilities that are intended to support more advanced quantum applications.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Resonance Cloud Platform </w:t>
      </w:r>
    </w:p>
    <w:p>
      <w:pPr>
        <w:pStyle w:val="TextBody"/>
        <w:bidi w:val="0"/>
        <w:spacing w:before="120" w:after="0"/>
        <w:jc w:val="left"/>
        <w:rPr>
          <w:rFonts w:ascii="Times New Roman" w:hAnsi="Times New Roman"/>
          <w:sz w:val="20"/>
        </w:rPr>
      </w:pPr>
      <w:r>
        <w:rPr>
          <w:rFonts w:ascii="Times New Roman" w:hAnsi="Times New Roman"/>
          <w:sz w:val="20"/>
        </w:rPr>
        <w:t xml:space="preserve">We also offer Quantum as a Service through our Resonance cloud platform, which can be accessed from the IQM portal as well as through third-party cloud platforms such as 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Software </w:t>
      </w:r>
    </w:p>
    <w:p>
      <w:pPr>
        <w:pStyle w:val="TextBody"/>
        <w:bidi w:val="0"/>
        <w:spacing w:before="120" w:after="0"/>
        <w:jc w:val="left"/>
        <w:rPr>
          <w:rFonts w:ascii="Times New Roman" w:hAnsi="Times New Roman"/>
          <w:sz w:val="20"/>
        </w:rPr>
      </w:pPr>
      <w:r>
        <w:rPr>
          <w:rFonts w:ascii="Times New Roman" w:hAnsi="Times New Roman"/>
          <w:sz w:val="20"/>
        </w:rPr>
        <w:t xml:space="preserve">Our software approach emphasizes an open and modular development environment and includes support for open-source frameworks such as Qrisp, which we co-develop with research partners to support the broader developer community. Resonance also provides pulse-level access and error mitigation integration, giving full control of quantum error correction stack instead of a black-box solution to allow ecosystem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Our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commercialize quantum computers is supported by investments in infrastructure and vertically integrated development capabilities across multiple layers of the quantum computing stack. We use our own proprietary EDA-software to accelerate chip design cycles, reduce costs and support performance optimization. We also operate a quantum chip fabrication facility where superconducting microchips are fabricated, packaged and 3D integrated into quantum processors using 200-millimeter silicon wafers. We have announced plans to expand our clean room facilities to support increased production capacity and continued development of our quantum processor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chip fabrication, we operate a system assembly line where fabricated quantum processor chips are integrated into complete quantum computers together with other hardware components. These systems are subsequently delivered to customers, deployed in our own data center environments to support cloud services, or used internally for research and development purposes. We also operate quantum data center infrastructure, including facilities in Munich, Germany, which host quantum systems used for cloud access and system testing. </w:t>
      </w:r>
    </w:p>
    <w:p>
      <w:pPr>
        <w:pStyle w:val="TextBody"/>
        <w:bidi w:val="0"/>
        <w:spacing w:before="240" w:after="0"/>
        <w:jc w:val="left"/>
        <w:rPr>
          <w:rFonts w:ascii="Times New Roman" w:hAnsi="Times New Roman"/>
          <w:sz w:val="20"/>
        </w:rPr>
      </w:pPr>
      <w:r>
        <w:rPr>
          <w:rFonts w:ascii="Times New Roman" w:hAnsi="Times New Roman"/>
          <w:sz w:val="20"/>
        </w:rPr>
        <w:t xml:space="preserve">IQM uses commercially available cryogenic systems to maintain its quantum systems at temperatures in the millikelvin range. We currently have an established strategic relationship with Bluefors, located in Finland, to provide cryogenics systems. </w:t>
      </w:r>
    </w:p>
    <w:p>
      <w:pPr>
        <w:pStyle w:val="TextBody"/>
        <w:bidi w:val="0"/>
        <w:spacing w:before="360" w:after="0"/>
        <w:jc w:val="left"/>
        <w:rPr>
          <w:rFonts w:ascii="Times New Roman" w:hAnsi="Times New Roman"/>
          <w:b/>
          <w:sz w:val="20"/>
        </w:rPr>
      </w:pPr>
      <w:r>
        <w:rPr>
          <w:rFonts w:ascii="Times New Roman" w:hAnsi="Times New Roman"/>
          <w:b/>
          <w:sz w:val="20"/>
        </w:rPr>
        <w:t xml:space="preserve">Use of Artificial Intelligence </w:t>
      </w:r>
    </w:p>
    <w:p>
      <w:pPr>
        <w:pStyle w:val="TextBody"/>
        <w:bidi w:val="0"/>
        <w:spacing w:before="120" w:after="0"/>
        <w:jc w:val="left"/>
        <w:rPr>
          <w:rFonts w:ascii="Times New Roman" w:hAnsi="Times New Roman"/>
          <w:sz w:val="20"/>
        </w:rPr>
      </w:pPr>
      <w:r>
        <w:rPr>
          <w:rFonts w:ascii="Times New Roman" w:hAnsi="Times New Roman"/>
          <w:sz w:val="20"/>
        </w:rPr>
        <w:t xml:space="preserve">We use AI tools to support certain internal business operations. These include AI-enabled features incorporated in commercially available third-party software platforms, including Claude and Github Copilot, used by our employees for software development, requirements management, code review and general productivity purposes. We utilize these platforms in accordance with their standard terms of service, which include certain limitations on use that are not material to our business. We also utilize open source large language models hosted on our own computing infrastructure for selected internal workflows, and have developed certain machine learning models for internal use. We do not currently integrate AI into any of our customer-facing quantum computing products or services. We are also developing AI-integrated capabilities for potential incorporation into our products, though none are currently in production or commercially deployed. </w:t>
      </w:r>
    </w:p>
    <w:p>
      <w:pPr>
        <w:pStyle w:val="TextBody"/>
        <w:bidi w:val="0"/>
        <w:spacing w:before="360" w:after="0"/>
        <w:jc w:val="left"/>
        <w:rPr>
          <w:rFonts w:ascii="Times New Roman" w:hAnsi="Times New Roman"/>
          <w:b/>
          <w:sz w:val="20"/>
        </w:rPr>
      </w:pPr>
      <w:r>
        <w:rPr>
          <w:rFonts w:ascii="Times New Roman" w:hAnsi="Times New Roman"/>
          <w:b/>
          <w:sz w:val="20"/>
        </w:rPr>
        <w:t xml:space="preserve">Our Growth Strategy </w:t>
      </w:r>
    </w:p>
    <w:p>
      <w:pPr>
        <w:pStyle w:val="TextBody"/>
        <w:bidi w:val="0"/>
        <w:spacing w:before="120" w:after="0"/>
        <w:jc w:val="left"/>
        <w:rPr>
          <w:rFonts w:ascii="Times New Roman" w:hAnsi="Times New Roman"/>
          <w:sz w:val="20"/>
        </w:rPr>
      </w:pPr>
      <w:r>
        <w:rPr>
          <w:rFonts w:ascii="Times New Roman" w:hAnsi="Times New Roman"/>
          <w:sz w:val="20"/>
        </w:rPr>
        <w:t xml:space="preserve">We aim to achieve our mission of building world-leading quantum computers for the wellbeing of humankind by utilizing the following growth strategies: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Continue to invest in research and development and infrastructure expansion. </w:t>
            </w:r>
            <w:r>
              <w:rPr>
                <w:rFonts w:ascii="Times New Roman" w:hAnsi="Times New Roman"/>
                <w:sz w:val="20"/>
              </w:rPr>
              <w:t xml:space="preserve">We intend to continue to invest in research and development and infrastructure expansion in order to support the growth of the quantum computing industry and the execution of our technology roadmap. The development of quantum computers requires significant long-term investment in research, infrastructure and engineering capabilities. Current initiatives include, among other things, the expansion of quantum chip fabrication processes and facilities, increased testing and validation capabilities, continued development of new quantum processor architectures and investments in the infrastructure required to deploy and operate quantum computers at larger scale. These investments are intended to support the advancement of the Company’s quantum computing platform and the deployment of increasingly capable quantum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Continue to advance our organizational capabilities. </w:t>
            </w:r>
            <w:r>
              <w:rPr>
                <w:rFonts w:ascii="Times New Roman" w:hAnsi="Times New Roman"/>
                <w:sz w:val="20"/>
              </w:rPr>
              <w:t xml:space="preserve">As part of our evolution into a scaling technology company, we are also investing in the professionalization of our operational processes, internal governance structures and organizational capabilities. These efforts include strengthening our operational and quality standards, derisking our supply chain, expanding program management and delivery capabilities and developing internal systems and processes designed to support larger-scale operations and customer deployments.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Consider strategic opportunities. </w:t>
            </w:r>
            <w:r>
              <w:rPr>
                <w:rFonts w:ascii="Times New Roman" w:hAnsi="Times New Roman"/>
                <w:sz w:val="20"/>
              </w:rPr>
              <w:t xml:space="preserve">We periodically evaluate strategic opportunities, including partnerships, technology collaborations and potential acquisitions, that may expand our capabilities, strengthen vertical integration within our technology platform or accelerate the development and commercialization of our quantum computers.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Pursue financing and capital allocation strategies that support long-term development. </w:t>
            </w:r>
            <w:r>
              <w:rPr>
                <w:rFonts w:ascii="Times New Roman" w:hAnsi="Times New Roman"/>
                <w:sz w:val="20"/>
              </w:rPr>
              <w:t xml:space="preserve">We believe that sustained investment in technology development, operational capabilities and organizational maturity will be important as quantum computers evolve toward larger-scale architectures and broader commercial adoption. IQM seeks to participate in public funding programs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research grants that support the development of quantum technologies and related infrastructure. We engage with national and international funding initiatives designed to advance quantum computing research and deployment. We believe that participation in such programs can support the development of our technology platform and infrastructure while partially offsetting certain research and development expenditures that might otherwise require shareholder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industry is characterized by rapid technological innovation, significant research and development requirements, evolving customer needs, and competition across multiple hardware modalities. </w:t>
      </w:r>
    </w:p>
    <w:p>
      <w:pPr>
        <w:pStyle w:val="TextBody"/>
        <w:bidi w:val="0"/>
        <w:spacing w:before="240" w:after="0"/>
        <w:jc w:val="left"/>
        <w:rPr>
          <w:rFonts w:ascii="Times New Roman" w:hAnsi="Times New Roman"/>
          <w:sz w:val="20"/>
        </w:rPr>
      </w:pPr>
      <w:r>
        <w:rPr>
          <w:rFonts w:ascii="Times New Roman" w:hAnsi="Times New Roman"/>
          <w:sz w:val="20"/>
        </w:rPr>
        <w:t xml:space="preserve">Participants in the industry include large multinational technology companies, specialized quantum computing companies, government-funded research institutions, and emerging technology startups. Among these participants, some pursue full system delivery, while others focus on specific layers of the quantum computing stack. </w:t>
      </w:r>
    </w:p>
    <w:p>
      <w:pPr>
        <w:pStyle w:val="TextBody"/>
        <w:bidi w:val="0"/>
        <w:spacing w:before="240" w:after="0"/>
        <w:jc w:val="left"/>
        <w:rPr>
          <w:rFonts w:ascii="Times New Roman" w:hAnsi="Times New Roman"/>
          <w:sz w:val="20"/>
        </w:rPr>
      </w:pPr>
      <w:r>
        <w:rPr>
          <w:rFonts w:ascii="Times New Roman" w:hAnsi="Times New Roman"/>
          <w:sz w:val="20"/>
        </w:rPr>
        <w:t xml:space="preserve">Companies developing quantum computers are pursuing a range of hardware approaches, including different qubit modalities (such as superconducting circuits, trapped ions, neutral atoms, photonic systems, and semiconductor spin qubits among others), different computational models (including gate-based, measurement-based, and annealing architectures), and systems designed for either general-purpose (“universal”) computing or more specialized applications. Each approach exhibits distinct characteristics and trade-offs across potential problem classes and performance metrics. </w:t>
      </w:r>
    </w:p>
    <w:p>
      <w:pPr>
        <w:pStyle w:val="TextBody"/>
        <w:bidi w:val="0"/>
        <w:spacing w:before="240" w:after="0"/>
        <w:jc w:val="left"/>
        <w:rPr>
          <w:rFonts w:ascii="Times New Roman" w:hAnsi="Times New Roman"/>
          <w:sz w:val="20"/>
        </w:rPr>
      </w:pPr>
      <w:r>
        <w:rPr>
          <w:rFonts w:ascii="Times New Roman" w:hAnsi="Times New Roman"/>
          <w:sz w:val="20"/>
        </w:rPr>
        <w:t xml:space="preserve">Our current competitors primarily include other quantum computing and large technology companies building superconducting quantum computers, including Google, IBM, Microsoft and Rigetti Computing. We also compete with quantum computing companies utilizing other modalities, including trapped ions (IonQ and Quantinuum), photonics (Xanadu Quantum Technologies), neutral atoms (Pasqal and Atom Computing) and cat qubits (Alice &amp; Bob), in our objective to develop quantum computers that reach quantum advantage.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primary direct competition is expected to come from other companies developing universal, gate-model quantum computers capable of meeting the performance and reliability requirements needed to address commercial problem sets. Competition is expected to be based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technology, such as system performance at both the physical-qubit level (e.g., connectivity, two-qubit fidelity, and gate speed) and the logical-qubit level (e.g., logical error rates, code distance, and physical-qubit overhead), ease of integration into hybrid infrastructures and workflows, and the pace of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traction and customer experience, including software usability, ability to develop and sustain long-term customer partnerships, quality of end-user support and service, and brand recognition and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manufacturability and scalability of the QPU and integrated system, as well as system bill of materials and total cost of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capability, including access to capital (both private and public) and enterprise-level organizational readiness and operational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critical technical and commercial talent.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Different modalities offer different technical characteristics. Superconducting architectures are designed to support high-speed quantum gate operations and could leverage established semiconductor fabrication processes for chip manufacturing and system integration. Trapped ion systems are known for long qubit coherence times and high gate fidelity but may face challenges related to system scalability. Neutral atom systems allow flexible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qubit arrangements and connectivity but require complex optical control systems. Photonic quantum systems use photons as carriers of quantum information and may offer advantages for networking or communication applications. Spin qubits seek to leverage established semiconductor fabrication techniques but remain in very early stages of development.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hardware development, the quantum computing ecosystem includes companies focused on quantum software, algorithms, and cloud-based access to quantum computing resources. Many industry participants including NVIDIA are developing hybrid computing models that integrate quantum processors with classical computing infrastructure such as HPC systems and cloud platforms. </w:t>
      </w:r>
    </w:p>
    <w:p>
      <w:pPr>
        <w:pStyle w:val="TextBody"/>
        <w:bidi w:val="0"/>
        <w:spacing w:before="360" w:after="0"/>
        <w:jc w:val="left"/>
        <w:rPr>
          <w:rFonts w:ascii="Times New Roman" w:hAnsi="Times New Roman"/>
          <w:b/>
          <w:sz w:val="20"/>
        </w:rPr>
      </w:pPr>
      <w:r>
        <w:rPr>
          <w:rFonts w:ascii="Times New Roman" w:hAnsi="Times New Roman"/>
          <w:b/>
          <w:sz w:val="20"/>
        </w:rPr>
        <w:t xml:space="preserve">Our People </w:t>
      </w:r>
    </w:p>
    <w:p>
      <w:pPr>
        <w:pStyle w:val="TextBody"/>
        <w:bidi w:val="0"/>
        <w:spacing w:before="120" w:after="0"/>
        <w:jc w:val="left"/>
        <w:rPr>
          <w:rFonts w:ascii="Times New Roman" w:hAnsi="Times New Roman"/>
          <w:sz w:val="20"/>
        </w:rPr>
      </w:pPr>
      <w:r>
        <w:rPr>
          <w:rFonts w:ascii="Times New Roman" w:hAnsi="Times New Roman"/>
          <w:sz w:val="20"/>
        </w:rPr>
        <w:t xml:space="preserve">As of August 1, 2026, our team included more than 400 employees representing over 55 nationalities, with a significant portion of employees holding advanced degrees in physics, engineering and related technical fields. The distribution of our employee base is heavily weighted towards technology and R&amp;D activities, representing approximately 50% of the total workforce. Approximately 10% of our personnel are dedicated to sales and marketing efforts and approximately 40% of our employees contributing to general, administration and corporate functions or operations. Approximately 66% of our employees are located in Espoo, Finland and 24% of our employees are located in Munich, Germany. Approximately 10% of our employees are based at our regional locations across the world with presences in the United Kingdom, the United States and the Asia-Pacific region, and also across wider Europe. </w:t>
      </w:r>
    </w:p>
    <w:p>
      <w:pPr>
        <w:pStyle w:val="TextBody"/>
        <w:bidi w:val="0"/>
        <w:spacing w:before="240" w:after="0"/>
        <w:jc w:val="left"/>
        <w:rPr>
          <w:rFonts w:ascii="Times New Roman" w:hAnsi="Times New Roman"/>
          <w:sz w:val="20"/>
        </w:rPr>
      </w:pPr>
      <w:r>
        <w:rPr>
          <w:rFonts w:ascii="Times New Roman" w:hAnsi="Times New Roman"/>
          <w:sz w:val="20"/>
        </w:rPr>
        <w:t xml:space="preserve">In some circumstances, we utilize independent consultants and consulting agencies to fulfil certain projects and/or processes where there is only a temporary resourcing demand or specialist assignment. Where we have a strategic and more permanent hiring need in locations where it does not have a legal entity or appropriate personnel infrastructure, we may take advantage of “Employer of Record” agreements. </w:t>
      </w:r>
    </w:p>
    <w:p>
      <w:pPr>
        <w:pStyle w:val="TextBody"/>
        <w:bidi w:val="0"/>
        <w:spacing w:before="240" w:after="0"/>
        <w:jc w:val="left"/>
        <w:rPr>
          <w:rFonts w:ascii="Times New Roman" w:hAnsi="Times New Roman"/>
          <w:sz w:val="20"/>
        </w:rPr>
      </w:pPr>
      <w:r>
        <w:rPr>
          <w:rFonts w:ascii="Times New Roman" w:hAnsi="Times New Roman"/>
          <w:sz w:val="20"/>
        </w:rPr>
        <w:t xml:space="preserve">Our workforce is united by the following values, which define the principles and behaviors that guide our culture.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Collaboration</w:t>
            </w:r>
            <w:r>
              <w:rPr>
                <w:rFonts w:ascii="Times New Roman" w:hAnsi="Times New Roman"/>
                <w:sz w:val="20"/>
              </w:rPr>
              <w:t xml:space="preserve">: We operate through multidisciplinary teams working across functions and geographic locations, reflecting the collaborative nature of quantum computing research and development. Employees are encouraged to contribute their expertise and perspectives, and we frequently work in partnership with customers, research institutions and other collaborators to co-develop technologies and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Trust</w:t>
            </w:r>
            <w:r>
              <w:rPr>
                <w:rFonts w:ascii="Times New Roman" w:hAnsi="Times New Roman"/>
                <w:sz w:val="20"/>
              </w:rPr>
              <w:t xml:space="preserve">: We emphasize trust and transparency in our operations. Employees are encouraged to openly discuss technical challenges and share lessons learned so that teams can improve systems and processes collectively. We also seek to base our technical and operational decisions on scientific evidence, data and engineering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Ambition</w:t>
            </w:r>
            <w:r>
              <w:rPr>
                <w:rFonts w:ascii="Times New Roman" w:hAnsi="Times New Roman"/>
                <w:sz w:val="20"/>
              </w:rPr>
              <w:t xml:space="preserve">: We operate in a competitive global technology environment and encourage employees to pursue ambitious objectives in advancing our quantum computing platform. We emphasize initiative, practical execution and continuous improvement as we work to compete with larger technology organizations and develop scalable quantum computers.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are many workplace initiatives in place to protect the integrity of our company culture, including the Employee Engagement Forum for which employee nominated representatives champion particular themes, meet together and with management periodically to discuss culture related developments, opportunities and challenges.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rely on a combination of patents, trade secrets, trademarks, design rights, domain names, contractual protections and internal governance processes to protect our technology, products and brand. Our intellectual property strategy is intended to protect differentiated aspects of our quantum computing platform, preserve proprietary know-how, support freedom to operate and limit third parties from using similar inventions in competing products. </w:t>
      </w:r>
    </w:p>
    <w:p>
      <w:pPr>
        <w:pStyle w:val="TextBody"/>
        <w:bidi w:val="0"/>
        <w:spacing w:before="240" w:after="0"/>
        <w:jc w:val="left"/>
        <w:rPr>
          <w:rFonts w:ascii="Times New Roman" w:hAnsi="Times New Roman"/>
          <w:sz w:val="20"/>
        </w:rPr>
      </w:pPr>
      <w:r>
        <w:rPr>
          <w:rFonts w:ascii="Times New Roman" w:hAnsi="Times New Roman"/>
          <w:sz w:val="20"/>
        </w:rPr>
        <w:t xml:space="preserve">Our patent portfolio primarily covers technologies across the quantum computing stack, including QPU design, qubit control and readout mechanisms, fabrication processes, packaging and cryogenic systems, control electronics and system integration technologies. In recent years, we have also increased our patenting activity in middleware and software layers, including areas such as pulse control, auto-calibration, error mitigation, and error correction. </w:t>
      </w:r>
    </w:p>
    <w:p>
      <w:pPr>
        <w:pStyle w:val="TextBody"/>
        <w:bidi w:val="0"/>
        <w:spacing w:before="240" w:after="0"/>
        <w:jc w:val="left"/>
        <w:rPr>
          <w:rFonts w:ascii="Times New Roman" w:hAnsi="Times New Roman"/>
          <w:sz w:val="20"/>
        </w:rPr>
      </w:pPr>
      <w:r>
        <w:rPr>
          <w:rFonts w:ascii="Times New Roman" w:hAnsi="Times New Roman"/>
          <w:sz w:val="20"/>
        </w:rPr>
        <w:t xml:space="preserve">As of July 31, 2026, our intellectual property portfolio included 170 active patent families representing 339 patent applications and 130 issued patents worldwide. In addition, our intellectual property portfolio includes 25 trade secrets, 8 registered utility models, 14 design registrations and 44 trademark registrations covering our corporate brand, product names and system designs. We seek patent protection in jurisdictions that are strategically important to our business, including jurisdictions where we expect to have customers, where competitors operate, or where patent enforceability is considered important. Our core filing jurisdictions include the United States and Europe, with selective filings in additional jurisdictions depending on the strategic importance of specific inventions. </w:t>
      </w:r>
    </w:p>
    <w:p>
      <w:pPr>
        <w:pStyle w:val="TextBody"/>
        <w:bidi w:val="0"/>
        <w:spacing w:before="240" w:after="0"/>
        <w:jc w:val="left"/>
        <w:rPr>
          <w:rFonts w:ascii="Times New Roman" w:hAnsi="Times New Roman"/>
          <w:sz w:val="20"/>
        </w:rPr>
      </w:pPr>
      <w:r>
        <w:rPr>
          <w:rFonts w:ascii="Times New Roman" w:hAnsi="Times New Roman"/>
          <w:sz w:val="20"/>
        </w:rPr>
        <w:t xml:space="preserve">Of our 170 active patent families, 48 are unpublished patent (utility)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patents, we rely on trade secrets and confidential information to protect certain aspects of our technology and operations that are not disclosed through patent filings. These trade secrets include proprietary materials and know-how related to processor design, fabrication processes, simulation models, system configurations, packaging designs, manufacturing processes and other technical information. We maintain internal policies and procedures designed to safeguard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generally require our employees and consultants to assign intellectual property created in the course of their work to us pursuant to contractual arrangements. We also use contractual provisions in collaboration, supplier and customer agreements to protect our intellectual property and to address ownership and use rights relating to jointly developed technology. </w:t>
      </w:r>
    </w:p>
    <w:p>
      <w:pPr>
        <w:pStyle w:val="TextBody"/>
        <w:bidi w:val="0"/>
        <w:spacing w:before="240" w:after="0"/>
        <w:jc w:val="left"/>
        <w:rPr>
          <w:rFonts w:ascii="Times New Roman" w:hAnsi="Times New Roman"/>
          <w:sz w:val="20"/>
        </w:rPr>
      </w:pPr>
      <w:r>
        <w:rPr>
          <w:rFonts w:ascii="Times New Roman" w:hAnsi="Times New Roman"/>
          <w:sz w:val="20"/>
        </w:rPr>
        <w:t xml:space="preserve">Certain elements of our intellectual property portfolio arise from collaborations with universities, research institutions and other partners. These arrangements may include technology transfer, joint ownership or licensing provisions relating to specific inventions or patent families. </w:t>
      </w:r>
    </w:p>
    <w:p>
      <w:pPr>
        <w:pStyle w:val="TextBody"/>
        <w:bidi w:val="0"/>
        <w:spacing w:before="240" w:after="0"/>
        <w:jc w:val="left"/>
        <w:rPr>
          <w:rFonts w:ascii="Times New Roman" w:hAnsi="Times New Roman"/>
          <w:sz w:val="20"/>
        </w:rPr>
      </w:pPr>
      <w:r>
        <w:rPr>
          <w:rFonts w:ascii="Times New Roman" w:hAnsi="Times New Roman"/>
          <w:sz w:val="20"/>
        </w:rPr>
        <w:t xml:space="preserve">We monitor the intellectual property landscape in the markets in which we operate and periodically conduct intellectual property reviews, including patentability, state-of-the-art and freedom-to-operate analyses in connection with research and development activities and product development. To our knowledge, we possess the intellectual property rights necessary to conduct our business as currently conducted in all material respects.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United States and international regulations on export controls, dual-use technologies, and sensitive research. We maintain robust compliance practices for handling classified projects and protected data. </w:t>
      </w:r>
    </w:p>
    <w:p>
      <w:pPr>
        <w:pStyle w:val="TextBody"/>
        <w:bidi w:val="0"/>
        <w:spacing w:before="240" w:after="0"/>
        <w:jc w:val="left"/>
        <w:rPr>
          <w:rFonts w:ascii="Times New Roman" w:hAnsi="Times New Roman"/>
          <w:sz w:val="20"/>
        </w:rPr>
      </w:pPr>
      <w:r>
        <w:rPr>
          <w:rFonts w:ascii="Times New Roman" w:hAnsi="Times New Roman"/>
          <w:sz w:val="20"/>
        </w:rPr>
        <w:t xml:space="preserve">Our operations are subject to various laws and regulations in the jurisdictions in which it operates, including those relating to export controls, dual-use technologies, data protection, environmental, health and safety matters, and government-funded research activities. In certain circumstances, we may also be subject to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relating to national security, defense-related technologies and other sensitive research areas. See “</w:t>
      </w:r>
      <w:r>
        <w:rPr>
          <w:rFonts w:ascii="Times New Roman" w:hAnsi="Times New Roman"/>
          <w:i/>
          <w:sz w:val="20"/>
        </w:rPr>
        <w:t>Risk Factors</w:t>
      </w:r>
      <w:r>
        <w:rPr>
          <w:rFonts w:ascii="Times New Roman" w:hAnsi="Times New Roman"/>
          <w:sz w:val="20"/>
        </w:rPr>
        <w:t xml:space="preserve">” for additional information regarding regulatory risks applicable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Our Facilities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offices are located in Espoo, Finland, where we lease approximately 7,250 square meters of corporate, research, development and fabrication space under several separate agreements, the last of which expires on December 30, 2030. We lease additional space in Espoo for the production, manufacture and delivery of our quantum computing products, as well as additional space in Munich, Germany. We believe these facilities are adequate to accommodate our current business requirements and anticipate that we will be able to obtain appropriate and additional capacity as needed under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legal proceedings relating to claims arising from the ordinary course of business. We are not currently subject to any pending or threatened claims or actions that we believe, if determined adversely to us, would reasonably be expected, individually or in the aggregate, to have a material adverse effect on our business, results of operations, financial condition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6013_16"/>
      <w:bookmarkEnd w:id="18"/>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or “our” refer to IQM and its subsidiaries. </w:t>
      </w:r>
    </w:p>
    <w:p>
      <w:pPr>
        <w:pStyle w:val="TextBody"/>
        <w:bidi w:val="0"/>
        <w:spacing w:before="36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together with the “Business” section and with our consolidated financial statements and the notes thereto and other financial information, which are included elsewhere in this prospectus. Unless otherwise defined herein, all capitalized words and phrases used in this section shall have the meanings ascribed to them in the prospectus of IQM dated June 5, 2026 pursuant to Rule 423(b)(3) under the Securities Act of 1933. This discussion and analysis should also be read together with the pro forma combined financial information in the section of this prospectus titled “Unaudited Pro Forma Condensed Combined Financial Information.” In addition to historical consolidated financial information, the following discussion contains forward-looking statements that reflect our plans, estimates, and beliefs that involve risks and uncertainties. Our actual results could differ materially from those discussed in the forward-looking statements as a result of many factors, including those factors set forth in the sections titled “Risk Factors” and “Cautionary Note Regarding Forward-Looking Statements,” which you should review for a discussion of some of the factors that could cause actual results to differ materially from the results described in or implied by the forward-looking statements contained in the following discussion and analysis and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rPr>
      </w:pPr>
      <w:r>
        <w:rPr>
          <w:rFonts w:ascii="Times New Roman" w:hAnsi="Times New Roman"/>
          <w:sz w:val="2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model primarily centers on the sale and installation of on-premises quantum computing systems as well as cloud-based access to our systems. These core offerings are supplemented with co-development projects, as well as professional services such as maintenance, support and training services. We differentiate ourselves from other quantum companies through a full-stack, hardware-driven approach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an open and modular software architecture. We design, fabricate, and integrate our own superconducting quantum processors, control electronics and software stack, with third party components, including cryogenic systems. This vertical integration enables the delivery of on-premises quantum computers into supercomputing and research centers, offering customers full control and data sovereignty that is particularly critical for governmental, scientific, defense, and sensitive industrial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We generate revenue primarily from sales of our on-premises quantum computer systems, including co-development projects, and related professional services such as training, maintenance and technical support. In addition, we generate revenue from cloud-based usage of our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and 2024, we generated revenue of 31.3 million and 16.4 million, respectively. For the years ended December 31, 2025 and 2024 our net loss was 54.4 million and 54.1 million, respectively. We have incurred significant operating losses since inception, and we expect to continue to incur significant losses for the foreseeable future as we continue to invest in research and development programs and commercial expansion. As of December 31, 2025, we had an accumulated deficit of 232.2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2026, IQM Finland Oy, IQM US LLC, Eclipse QC S.à r.l. and RAAQ entered into the Business Combination Agreement. The Business Combination was consummated on July 1, 2026, pursuant to which RAAQ merged with and into IQM US LLC, with IQM US LLC surviving as an indirect wholly owned subsidiary of IQM. Concurrently with the closing of the Business Combination, IQM completed a PIPE financing for aggregate gross proceeds of approximately $145.5 million. IQM received aggregate net proceeds of approximately $233.5 million from the Business Combination and the PIPE financing, taking into account the remaining funds in RAAQ’s trust account. </w:t>
      </w:r>
    </w:p>
    <w:p>
      <w:pPr>
        <w:pStyle w:val="TextBody"/>
        <w:bidi w:val="0"/>
        <w:spacing w:before="240" w:after="0"/>
        <w:jc w:val="left"/>
        <w:rPr>
          <w:rFonts w:ascii="Times New Roman" w:hAnsi="Times New Roman"/>
          <w:sz w:val="20"/>
        </w:rPr>
      </w:pPr>
      <w:r>
        <w:rPr>
          <w:rFonts w:ascii="Times New Roman" w:hAnsi="Times New Roman"/>
          <w:sz w:val="20"/>
        </w:rPr>
        <w:t xml:space="preserve">Separately from the Business Combination, we pursued an initial listing in Finland on the Nasdaq Helsinki exchange. On July 3, 2026, the listing was successfully completed, and our ordinary shares commenced trading on Nasdaq Helsinki.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Impacting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performance and future success of our business depend on several factors. While these factors present significant opportunities, they also pose risks and challenges that we must address to improve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Technologically Advanced Product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deliver high-performance quantum computers and related solutions designed to meet the evolving requirements of our customers, including research institutions, governments and enterprises. We specialize in building quantum computers for high-performance computing, research applications and industry use-cases, and our technology focuses on scalable architecture and integrated quantum processors designed for fault-tolerant systems. Our technology roadmap includes advancing qubit fidelity, error correction, and modular designs to enable large-scale quantum systems. We intend to invest heavily in research and development to extend our technology leadership and advance our portfolio of quantum computers.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Expansion of Partnerships </w:t>
      </w:r>
    </w:p>
    <w:p>
      <w:pPr>
        <w:pStyle w:val="TextBody"/>
        <w:bidi w:val="0"/>
        <w:spacing w:before="120" w:after="0"/>
        <w:jc w:val="left"/>
        <w:rPr>
          <w:rFonts w:ascii="Times New Roman" w:hAnsi="Times New Roman"/>
          <w:sz w:val="20"/>
        </w:rPr>
      </w:pPr>
      <w:r>
        <w:rPr>
          <w:rFonts w:ascii="Times New Roman" w:hAnsi="Times New Roman"/>
          <w:sz w:val="20"/>
        </w:rPr>
        <w:t xml:space="preserve">Our success also depends in part on our ability to identify and enter into strategic partnership opportunities to accelerate the development of our technological capabilities and the broader quantum computing ecosystem.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date, we have established partnerships with major research institutions and government agencies across Europe, North America and Asia. We are also working on projects with various industrial partners to develop solutions for quantum-based applications in material science, finance, energy, chemistry, and logistics. We intend to continue to seek new partnership opportunities that we believe accelerate our technology roadmap and growth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Acquisition and Retention </w:t>
      </w:r>
    </w:p>
    <w:p>
      <w:pPr>
        <w:pStyle w:val="TextBody"/>
        <w:bidi w:val="0"/>
        <w:spacing w:before="120" w:after="0"/>
        <w:jc w:val="left"/>
        <w:rPr>
          <w:rFonts w:ascii="Times New Roman" w:hAnsi="Times New Roman"/>
          <w:sz w:val="20"/>
        </w:rPr>
      </w:pPr>
      <w:r>
        <w:rPr>
          <w:rFonts w:ascii="Times New Roman" w:hAnsi="Times New Roman"/>
          <w:sz w:val="20"/>
        </w:rPr>
        <w:t xml:space="preserve">Our success in achieving our growth objectives will depend on our ability to increase adoption of quantum computing technology and sales of our quantum computers. We believe that we are well-positioned to benefit from the development of quantum computing technology. As adoption of quantum computing technology increases, we believe the intuitive and accessible user experience provided by our quantum computers will enable us to attract new customers and commercial partners. As we execute on our strategy, we believe the reliability and use of our platform will create virtuous network effects, driving adoption of quantum computing technologies, which will further encourage investment in quantum computing and thereby accelerate our product roadmap.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attract new and retain existing customers will depend on a number of factors, including the technological capabilities of our quantum computers, the offerings of our competitors and the effectiveness of our go-to-market and partnership activities. We will need to dedicate significant resources to further develop our commercial and manufacturing capabilities.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Industry Trends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market is projected to grow significantly as industries seek solutions for optimization, material science, and cryptography. To date, we have benefited from Europe’s strong push for technological sovereignty and quantum investments. However, the industry is characterized by rapid technological development, and global competition from North American and Asian players with larger funding pools poses a risk. Our success will depend on our ability to achieve quantum advantage and demonstrate practical use cases for our quantum computers. Additionally, the demand for talent is increasing as the quantum computing market grows, creating challenges for companies in the industry to attract and retain talent, leading to talent shortages. Classical computing is also advancing technologically which could delay quantum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Availability of Capital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growth strategy is contingent upon significant and sustained capital investment to achieve the necessary technological and commercial scale. We intend to invest significantly to accelerate our technology roadmap and scale our manufacturing processes. Realizing our growth objectives will require material financial commitment to both hardware infrastructure development and the expansion of our scientific and commercial teams to support and service a global customer base. Our ability to secure adequate capital will therefore be critical to achieve our growth objectives and facilitate enterprise adoption of quantum computing.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Macroeconomic Environment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our operations may vary based on the impact of changes in the global economy. Negative conditions in the general economy in countries where we operate, including conditions resulting from changes in gross domestic product growth, inflation, interest rates, financial and credit market fluctuations, international trade relations and tariffs, pandemics, political turmoil, natural catastrophes, warfare, terrorist attacks, and geopolitical impacts on global supply chains, could negatively affect our business, including progress toward the development of quantum computing. It is not possible at this time to estimate the long-term impact that these and related events could have on our business, as this will depend on future developments that are highly uncertain and cannot be predicted. If any such adverse conditions occur, persist and deepen, our customers may slow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spending on quantum computing technology and we may experience a decrease in demand for our products. We may also experience an inability to access additional capital if needed which could negatively impact our liquidity. </w:t>
      </w:r>
    </w:p>
    <w:p>
      <w:pPr>
        <w:pStyle w:val="TextBody"/>
        <w:bidi w:val="0"/>
        <w:spacing w:before="360" w:after="0"/>
        <w:jc w:val="left"/>
        <w:rPr>
          <w:rFonts w:ascii="Times New Roman" w:hAnsi="Times New Roman"/>
          <w:sz w:val="20"/>
        </w:rPr>
      </w:pPr>
      <w:r>
        <w:rPr>
          <w:rFonts w:ascii="Times New Roman" w:hAnsi="Times New Roman"/>
          <w:b/>
          <w:sz w:val="20"/>
        </w:rPr>
        <w:t>Key Components of Results of Operations</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We primarily generate revenue from sales of our on-premises quantum computer systems, including co-development projects, and related professional services such as training, maintenance and technical support. In addition, we generate revenue from cloud-based usage of our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from sales of customized quantum computer systems over time and recognize at a point in time when control transfers to the customer for standardized products or system sales. Revenue from cloud-based access is recognized based on usage. Revenue from service, maintenance, and technical support is recognized over time on a straight-line basis over the contract term. Training revenue is either recognized as part of performance obligation of a delivery project or as separate performance obligation at point in time when the service is delivered.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consists primarily of all direct and indirect expenses related to delivering projects, which typically involve the design, fabrication, delivery, and installation of advanced quantum computing systems. The costs are directly linked to the performance obligations under customer contracts. Cost of revenue also includes depreciation and amortization of assets which support the delivery of our projects, as well as costs related to logistics and warranty. In addition, there are allocated overhead costs for corporate functions and related costs such as depreciation, healthcare benefits, training and 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Selling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consist primarily of personnel-related expenses, including salaries, bonuses, benefits, stock-based compensation and social security for sales and business development personnel, marketing activities, advertising, travel expenses related to sales activities, external agency support, and public engagement initiatives. Selling expenses also include costs related to customer success teams and technical support staff. In addition, a portion of overhead costs are allocated to selling expenses for corporate functions and related costs such as depreciation, healthcare benefits, training and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primarily consist of personnel-related expenses, including salaries, bonuses, benefits, stock-based compensation and social security for personnel in corporate functions such as finance, legal, human resources, and executive management. Fees for external consultants and professional service providers supporting strategic and compliance-related activities as well as communications and enterprise IT infrastructure costs are also included in general and administrative expenses. There is also a portion of overhead costs allocated to general and administrative expenses for corporate functions and related costs such as depreciation, healthcare benefits, training and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relate to the advancement of our quantum computing technologies and system integration capabilities. These include personnel-related expenses, including salaries, bonuses,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stock-based compensation and social security for physicists, engineers, and other technical staff involved in hardware, software, and algorithm development related to our quantum computers. Research and development costs also include expenses for specialized equipment, development software, as well as infrastructure costs such as computer resources, hosting services, and data centers which support these activities. Additionally, a portion of overhead costs are allocated to research and development expenses for corporate functions and related costs such as depreciation, healthcare benefits, training and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losses on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Impairment losses on financial assets include the allowance for expected credit losses on trade receivables.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consists primarily of income from government grants.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expenses consist of an impairment loss recognized on property, plant and equipment in 2025. </w:t>
      </w:r>
    </w:p>
    <w:p>
      <w:pPr>
        <w:pStyle w:val="TextBody"/>
        <w:bidi w:val="0"/>
        <w:spacing w:before="360" w:after="0"/>
        <w:jc w:val="left"/>
        <w:rPr>
          <w:rFonts w:ascii="Times New Roman" w:hAnsi="Times New Roman"/>
          <w:b/>
          <w:sz w:val="20"/>
        </w:rPr>
      </w:pPr>
      <w:r>
        <w:rPr>
          <w:rFonts w:ascii="Times New Roman" w:hAnsi="Times New Roman"/>
          <w:b/>
          <w:sz w:val="20"/>
        </w:rPr>
        <w:t xml:space="preserve">Result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Periods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results of operations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9"/>
        <w:gridCol w:w="121"/>
        <w:gridCol w:w="64"/>
        <w:gridCol w:w="815"/>
        <w:gridCol w:w="344"/>
        <w:gridCol w:w="65"/>
        <w:gridCol w:w="64"/>
        <w:gridCol w:w="818"/>
        <w:gridCol w:w="320"/>
        <w:gridCol w:w="61"/>
        <w:gridCol w:w="63"/>
        <w:gridCol w:w="799"/>
        <w:gridCol w:w="154"/>
        <w:gridCol w:w="61"/>
        <w:gridCol w:w="60"/>
        <w:gridCol w:w="426"/>
        <w:gridCol w:w="320"/>
        <w:gridCol w:w="61"/>
        <w:gridCol w:w="60"/>
        <w:gridCol w:w="756"/>
        <w:gridCol w:w="320"/>
        <w:gridCol w:w="60"/>
        <w:gridCol w:w="60"/>
        <w:gridCol w:w="756"/>
        <w:gridCol w:w="320"/>
        <w:gridCol w:w="61"/>
        <w:gridCol w:w="63"/>
        <w:gridCol w:w="799"/>
        <w:gridCol w:w="155"/>
        <w:gridCol w:w="61"/>
        <w:gridCol w:w="60"/>
        <w:gridCol w:w="426"/>
        <w:gridCol w:w="333"/>
      </w:tblGrid>
      <w:tr>
        <w:trPr/>
        <w:tc>
          <w:tcPr>
            <w:tcW w:w="12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2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170" w:type="dxa"/>
            <w:gridSpan w:val="6"/>
            <w:tcBorders/>
            <w:vAlign w:val="bottom"/>
          </w:tcPr>
          <w:p>
            <w:pPr>
              <w:pStyle w:val="TableContents"/>
              <w:bidi w:val="0"/>
              <w:spacing w:before="0" w:after="283"/>
              <w:jc w:val="center"/>
              <w:rPr>
                <w:b/>
              </w:rPr>
            </w:pPr>
            <w:r>
              <w:rPr>
                <w:b/>
              </w:rPr>
              <w:t>For the three months</w:t>
              <w:br/>
              <w:t>ended June 30,</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63" w:type="dxa"/>
            <w:gridSpan w:val="6"/>
            <w:tcBorders/>
            <w:vAlign w:val="bottom"/>
          </w:tcPr>
          <w:p>
            <w:pPr>
              <w:pStyle w:val="TableContents"/>
              <w:bidi w:val="0"/>
              <w:spacing w:before="0" w:after="283"/>
              <w:jc w:val="center"/>
              <w:rPr>
                <w:b/>
              </w:rPr>
            </w:pPr>
            <w:r>
              <w:rPr>
                <w:b/>
              </w:rPr>
              <w:t>Change</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12" w:type="dxa"/>
            <w:gridSpan w:val="6"/>
            <w:tcBorders/>
            <w:vAlign w:val="bottom"/>
          </w:tcPr>
          <w:p>
            <w:pPr>
              <w:pStyle w:val="TableContents"/>
              <w:bidi w:val="0"/>
              <w:spacing w:before="0" w:after="283"/>
              <w:jc w:val="center"/>
              <w:rPr>
                <w:b/>
              </w:rPr>
            </w:pPr>
            <w:r>
              <w:rPr>
                <w:b/>
              </w:rPr>
              <w:t>For the six months</w:t>
              <w:br/>
              <w:t>ended June 30,</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64" w:type="dxa"/>
            <w:gridSpan w:val="6"/>
            <w:tcBorders/>
            <w:vAlign w:val="bottom"/>
          </w:tcPr>
          <w:p>
            <w:pPr>
              <w:pStyle w:val="TableContents"/>
              <w:bidi w:val="0"/>
              <w:spacing w:before="0" w:after="283"/>
              <w:jc w:val="center"/>
              <w:rPr>
                <w:b/>
              </w:rPr>
            </w:pPr>
            <w:r>
              <w:rPr>
                <w:b/>
              </w:rPr>
              <w:t>Change</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21"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33"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6,683</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5,233</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1,450</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28</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8,870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6,034</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2,836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47</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(3,623</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(3,159</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(465</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(5,265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(3,627</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(1,638</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45</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3,060</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2,075</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985</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b/>
              </w:rPr>
            </w:pPr>
            <w:r>
              <w:rPr>
                <w:b/>
              </w:rPr>
              <w:t>47</w:t>
            </w:r>
          </w:p>
        </w:tc>
        <w:tc>
          <w:tcPr>
            <w:tcW w:w="320"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3,604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2,407</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1,197</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b/>
              </w:rPr>
            </w:pPr>
            <w:r>
              <w:rPr>
                <w:b/>
              </w:rPr>
              <w:t>50</w:t>
            </w:r>
          </w:p>
        </w:tc>
        <w:tc>
          <w:tcPr>
            <w:tcW w:w="333" w:type="dxa"/>
            <w:tcBorders/>
            <w:shd w:fill="CCEEFF" w:val="clear"/>
            <w:vAlign w:val="bottom"/>
          </w:tcPr>
          <w:p>
            <w:pPr>
              <w:pStyle w:val="TableContents"/>
              <w:bidi w:val="0"/>
              <w:spacing w:before="0" w:after="283"/>
              <w:jc w:val="left"/>
              <w:rPr>
                <w:b/>
              </w:rPr>
            </w:pPr>
            <w:r>
              <w:rPr>
                <w:b/>
              </w:rPr>
              <w:t>% </w:t>
            </w:r>
          </w:p>
        </w:tc>
      </w:tr>
      <w:tr>
        <w:trPr/>
        <w:tc>
          <w:tcPr>
            <w:tcW w:w="1299"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46</w:t>
            </w:r>
          </w:p>
        </w:tc>
        <w:tc>
          <w:tcPr>
            <w:tcW w:w="344" w:type="dxa"/>
            <w:tcBorders/>
            <w:vAlign w:val="bottom"/>
          </w:tcPr>
          <w:p>
            <w:pPr>
              <w:pStyle w:val="TableContents"/>
              <w:bidi w:val="0"/>
              <w:spacing w:before="0" w:after="283"/>
              <w:jc w:val="left"/>
              <w:rPr>
                <w:b/>
              </w:rPr>
            </w:pPr>
            <w:r>
              <w:rPr>
                <w:b/>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40</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41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40</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— </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(3,805</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(1,385</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(2,420</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(7,049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(2,366</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(4,683</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(15,450</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(4,380</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(11,071</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(26,201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(6,912</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(19,289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33"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(16,285</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(11,813</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(4,472</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38</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(34,047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(25,650</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(8,396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33</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(133</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(138</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33"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1,719</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576</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1,143</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3,142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938</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2,204</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(46</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46</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(48</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-86</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(30,895</w:t>
            </w:r>
          </w:p>
        </w:tc>
        <w:tc>
          <w:tcPr>
            <w:tcW w:w="344"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(14,968</w:t>
            </w:r>
          </w:p>
        </w:tc>
        <w:tc>
          <w:tcPr>
            <w:tcW w:w="320"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(15,927</w:t>
            </w:r>
          </w:p>
        </w:tc>
        <w:tc>
          <w:tcPr>
            <w:tcW w:w="154"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b/>
              </w:rPr>
            </w:pPr>
            <w:r>
              <w:rPr>
                <w:b/>
              </w:rPr>
              <w:t>NM</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(60,537</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(31,635</w:t>
            </w:r>
          </w:p>
        </w:tc>
        <w:tc>
          <w:tcPr>
            <w:tcW w:w="320"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(28,902</w:t>
            </w:r>
          </w:p>
        </w:tc>
        <w:tc>
          <w:tcPr>
            <w:tcW w:w="155"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b/>
              </w:rPr>
            </w:pPr>
            <w:r>
              <w:rPr>
                <w:b/>
              </w:rPr>
              <w:t>91</w:t>
            </w:r>
          </w:p>
        </w:tc>
        <w:tc>
          <w:tcPr>
            <w:tcW w:w="333" w:type="dxa"/>
            <w:tcBorders/>
            <w:shd w:fill="CCEEFF" w:val="clear"/>
            <w:vAlign w:val="bottom"/>
          </w:tcPr>
          <w:p>
            <w:pPr>
              <w:pStyle w:val="TableContents"/>
              <w:bidi w:val="0"/>
              <w:spacing w:before="0" w:after="283"/>
              <w:jc w:val="left"/>
              <w:rPr>
                <w:b/>
              </w:rPr>
            </w:pPr>
            <w:r>
              <w:rPr>
                <w:b/>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1,700</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626</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1,073</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5,067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969</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4,098</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33"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(7,336</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(607</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(6,730</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(19,400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(3,850</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(15,551</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(36,532</w:t>
            </w:r>
          </w:p>
        </w:tc>
        <w:tc>
          <w:tcPr>
            <w:tcW w:w="344" w:type="dxa"/>
            <w:tcBorders/>
            <w:vAlign w:val="bottom"/>
          </w:tcPr>
          <w:p>
            <w:pPr>
              <w:pStyle w:val="TableContents"/>
              <w:bidi w:val="0"/>
              <w:spacing w:before="0" w:after="283"/>
              <w:jc w:val="left"/>
              <w:rPr>
                <w:b/>
              </w:rPr>
            </w:pPr>
            <w:r>
              <w:rPr>
                <w:b/>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(14,948</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(21,584</w:t>
            </w:r>
          </w:p>
        </w:tc>
        <w:tc>
          <w:tcPr>
            <w:tcW w:w="154"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b/>
              </w:rPr>
            </w:pPr>
            <w:r>
              <w:rPr>
                <w:b/>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(74,871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(34,516</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(40,354</w:t>
            </w:r>
          </w:p>
        </w:tc>
        <w:tc>
          <w:tcPr>
            <w:tcW w:w="155"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b/>
              </w:rPr>
            </w:pPr>
            <w:r>
              <w:rPr>
                <w:b/>
              </w:rPr>
              <w:t>NM</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(22</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(57</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35</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-62</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(59</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-54</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(36,554</w:t>
            </w:r>
          </w:p>
        </w:tc>
        <w:tc>
          <w:tcPr>
            <w:tcW w:w="344" w:type="dxa"/>
            <w:tcBorders/>
            <w:vAlign w:val="bottom"/>
          </w:tcPr>
          <w:p>
            <w:pPr>
              <w:pStyle w:val="TableContents"/>
              <w:bidi w:val="0"/>
              <w:spacing w:before="0" w:after="283"/>
              <w:jc w:val="left"/>
              <w:rPr>
                <w:b/>
              </w:rPr>
            </w:pPr>
            <w:r>
              <w:rPr>
                <w:b/>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(15,005</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(21,549</w:t>
            </w:r>
          </w:p>
        </w:tc>
        <w:tc>
          <w:tcPr>
            <w:tcW w:w="154"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b/>
              </w:rPr>
            </w:pPr>
            <w:r>
              <w:rPr>
                <w:b/>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(74,897</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(34,575</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(40,322</w:t>
            </w:r>
          </w:p>
        </w:tc>
        <w:tc>
          <w:tcPr>
            <w:tcW w:w="155"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b/>
              </w:rPr>
            </w:pPr>
            <w:r>
              <w:rPr>
                <w:b/>
              </w:rPr>
              <w:t>NM</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EUR 2.8 million, or 47%, to EUR 8.9 million for the six months ended June 30, 2026 as compared to EUR 6.0 million for the six months ended June 30, 2025. Revenue increased by EUR 1.4 million, or 28%, to EUR 6.7 million for the three months ended June 30, 2026 as compared to EUR 5.2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increases were primarily driven by standardized quantum computer system delivery and higher continued progress on customer projects for which revenue is recognized over time, compared to the corresponding periods in 2025. </w:t>
      </w:r>
    </w:p>
    <w:p>
      <w:pPr>
        <w:pStyle w:val="TextBody"/>
        <w:bidi w:val="0"/>
        <w:spacing w:before="240" w:after="0"/>
        <w:jc w:val="left"/>
        <w:rPr>
          <w:rFonts w:ascii="Times New Roman" w:hAnsi="Times New Roman"/>
          <w:sz w:val="20"/>
        </w:rPr>
      </w:pPr>
      <w:r>
        <w:rPr>
          <w:rFonts w:ascii="Times New Roman" w:hAnsi="Times New Roman"/>
          <w:sz w:val="20"/>
        </w:rPr>
        <w:t xml:space="preserve">We expect revenue to grow as we deliver against both our order backlog and new orders and achieve milestones on our technology roadmap.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EUR 1.6 million, or 45%, to EUR 5.3 million for the six months ended June 30, 2026 as compared to EUR 3.6 million for the six months ended June 30, 2025. Cost of revenue increased by EUR 0.5 million, or 15%, to EUR 3.6 million for the three months ended June 30, 2026 as compared to EUR 3.2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increases were primarily in line with the higher revenue generated during the respective periods and reflected the increased use of personnel and material resources required to support higher sales volumes and progress on customer projects. </w:t>
      </w:r>
    </w:p>
    <w:p>
      <w:pPr>
        <w:pStyle w:val="TextBody"/>
        <w:bidi w:val="0"/>
        <w:spacing w:before="240" w:after="0"/>
        <w:jc w:val="left"/>
        <w:rPr>
          <w:rFonts w:ascii="Times New Roman" w:hAnsi="Times New Roman"/>
          <w:sz w:val="20"/>
        </w:rPr>
      </w:pPr>
      <w:r>
        <w:rPr>
          <w:rFonts w:ascii="Times New Roman" w:hAnsi="Times New Roman"/>
          <w:sz w:val="20"/>
        </w:rPr>
        <w:t xml:space="preserve">We expect cost of revenue to increase with growing sales of our quantum computer systems.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Selling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increased by EUR 4.7 million to EUR 7.0 million for the six months ended June 30, 2026 as compared to EUR 2.4 million for the six months ended June 30, 2025. Selling expenses increased by EUR 2.4 million to EUR 3.8 million for the three months ended June 30, 2026 as compared to EUR 1.4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for the six months ended June 30, 2026 was primarily due to an increase of EUR 2.2 million in personnel-related costs, an increase of EUR 0.5 million in consulting fees, and an increase of EUR 0.2 million in conference expenses, trade shows and other marketing related events. </w:t>
      </w:r>
    </w:p>
    <w:p>
      <w:pPr>
        <w:pStyle w:val="TextBody"/>
        <w:bidi w:val="0"/>
        <w:spacing w:before="240" w:after="0"/>
        <w:jc w:val="left"/>
        <w:rPr>
          <w:rFonts w:ascii="Times New Roman" w:hAnsi="Times New Roman"/>
          <w:sz w:val="20"/>
        </w:rPr>
      </w:pPr>
      <w:r>
        <w:rPr>
          <w:rFonts w:ascii="Times New Roman" w:hAnsi="Times New Roman"/>
          <w:sz w:val="20"/>
        </w:rPr>
        <w:t xml:space="preserve">The increase for the three months ended June 30, 2026 was mainly attributable to higher personnel-related costs of EUR 1.4 million, consulting fees of EUR 0.3 million, and expenses for conferences, trade shows and other marketing-related events of EUR 0.1 million. </w:t>
      </w:r>
    </w:p>
    <w:p>
      <w:pPr>
        <w:pStyle w:val="TextBody"/>
        <w:bidi w:val="0"/>
        <w:spacing w:before="240" w:after="0"/>
        <w:jc w:val="left"/>
        <w:rPr>
          <w:rFonts w:ascii="Times New Roman" w:hAnsi="Times New Roman"/>
          <w:sz w:val="20"/>
        </w:rPr>
      </w:pPr>
      <w:r>
        <w:rPr>
          <w:rFonts w:ascii="Times New Roman" w:hAnsi="Times New Roman"/>
          <w:sz w:val="20"/>
        </w:rPr>
        <w:t xml:space="preserve">We expect selling expenses to increase due to a scale up in the sales force as well as higher marketing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increased by EUR 19.3 million to EUR 26.2 million for the six months ended June 30, 2026 as compared to EUR 6.9 million for the six months ended June 30, 2025. General and administrative expenses increased by EUR 11.1 million to EUR 15.5 million for the three months ended June 30, 2026 as compared to EUR 4.4 million for the three months ended June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increase in the six months and three months ended June 30, 2026 were primarily attributable to approximately EUR 9.9 million of transaction costs incurred in connection with the business combination and the commencement of US trading, the PIPE agreements and the Finnish initial public offering, as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Ordinary general and administrative expenses also increased during the period, primarily due to EUR 5.0 million higher personnel-related expenses resulting from the expansion of the workforce and increased share-based payment expenses. In addition, accounting and audit expenses increased by EUR 1.6 million, mainly reflecting the enhanced financial reporting, audit and regulatory requirements associated with becoming a publicly listed company. </w:t>
      </w:r>
    </w:p>
    <w:p>
      <w:pPr>
        <w:pStyle w:val="TextBody"/>
        <w:bidi w:val="0"/>
        <w:spacing w:before="240" w:after="0"/>
        <w:jc w:val="left"/>
        <w:rPr>
          <w:rFonts w:ascii="Times New Roman" w:hAnsi="Times New Roman"/>
          <w:sz w:val="20"/>
        </w:rPr>
      </w:pPr>
      <w:r>
        <w:rPr>
          <w:rFonts w:ascii="Times New Roman" w:hAnsi="Times New Roman"/>
          <w:sz w:val="20"/>
        </w:rPr>
        <w:t xml:space="preserve">We expect general and administrative expenses to increase due to the overall growth of the business. However, this will be partially offset by a decrease in listing related costs.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increased by EUR 8.4 million, or 33%, to EUR 34.0 million for the six months ended ended June 30, 2026 as compared to EUR 25.7 million for the six months ended June 30, 2025. Research and development expenses increased by EUR 4.5 million, or 38%, to EUR 16.3 million for the three months ended June 30, 2026 as compared to EUR 11.8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research and development expenses was primarily driven by the continued expansion of the Company’s quantum computing development activities. This included higher personnel-related costs as well as increased expenditure for prototype development, testing, laboratory equipment and materials. </w:t>
      </w:r>
    </w:p>
    <w:p>
      <w:pPr>
        <w:pStyle w:val="TextBody"/>
        <w:bidi w:val="0"/>
        <w:spacing w:before="240" w:after="0"/>
        <w:jc w:val="left"/>
        <w:rPr>
          <w:rFonts w:ascii="Times New Roman" w:hAnsi="Times New Roman"/>
          <w:sz w:val="20"/>
        </w:rPr>
      </w:pPr>
      <w:r>
        <w:rPr>
          <w:rFonts w:ascii="Times New Roman" w:hAnsi="Times New Roman"/>
          <w:sz w:val="20"/>
        </w:rPr>
        <w:t xml:space="preserve">We expect research and development expenses to increase due to overall growth of the business and progress on our technology roadmap.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Losses on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Expected credit losses on trade receivables and contract assets decreased by EUR 24 thousand, resulting in a net reversal of the expected credit loss allowance of EUR 20 thousand for the six months ended June 30, 2026, compared with expected credit losses of EUR 4 thousand for the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2026, movement allowance on financial assets and contract assets increased by EUR 138 thousand to EUR 133 thousand, compared with a reversal of movement allowance of EUR 4 thousand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decrease for the six months ended June 30, 2026 primarily reflects the reversal of previously recognized movement allowances following improved collection expectations and the settlement of certain outstanding receivables. The increase for the three months ended June 30, 2026 was mainly driven by the recognition of additional movement allowances on specific trade receivables and contract assets based on updated assessments of their recoverability.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increased by EUR 2.2 million to EUR 3.1 million for the six months ended June 30, 2026 as compared to EUR 0.9 million for the six months ended June 30, 2025. Other operating income increased by EUR 1.1 million to EUR 1.7 million for the three months ended June 30, 2026 as compared to EUR 0.6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was mainly driven by higher grant income resulting from newly funded research and development projects.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Financial Result </w:t>
      </w:r>
    </w:p>
    <w:p>
      <w:pPr>
        <w:pStyle w:val="TextBody"/>
        <w:bidi w:val="0"/>
        <w:spacing w:before="120" w:after="0"/>
        <w:jc w:val="left"/>
        <w:rPr>
          <w:rFonts w:ascii="Times New Roman" w:hAnsi="Times New Roman"/>
          <w:i/>
          <w:sz w:val="20"/>
        </w:rPr>
      </w:pPr>
      <w:r>
        <w:rPr>
          <w:rFonts w:ascii="Times New Roman" w:hAnsi="Times New Roman"/>
          <w:i/>
          <w:sz w:val="20"/>
        </w:rPr>
        <w:t xml:space="preserve">Finance Income </w:t>
      </w:r>
    </w:p>
    <w:p>
      <w:pPr>
        <w:pStyle w:val="TextBody"/>
        <w:bidi w:val="0"/>
        <w:spacing w:before="120" w:after="0"/>
        <w:jc w:val="left"/>
        <w:rPr>
          <w:rFonts w:ascii="Times New Roman" w:hAnsi="Times New Roman"/>
          <w:sz w:val="20"/>
        </w:rPr>
      </w:pPr>
      <w:r>
        <w:rPr>
          <w:rFonts w:ascii="Times New Roman" w:hAnsi="Times New Roman"/>
          <w:sz w:val="20"/>
        </w:rPr>
        <w:t xml:space="preserve">Finance income increased by EUR 4.1 million to EUR 5.1 million for the six months ended June 30, 2026 as compared to EUR 1.0 million for the six months ended June 30, 2025. Finance income increased by EUR 1.1 million to EUR 1.7 million for the three months ended June 30, 2026 as compared to EUR 0.6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was largely driven by fair value gains of EUR 4.1 million on financial assets measured at fair value through profit or loss, arising from fluctuations in the foreign currency component of the PIPE subscription agreements entered into during the six months ended June 30, 2026. </w:t>
      </w:r>
    </w:p>
    <w:p>
      <w:pPr>
        <w:pStyle w:val="TextBody"/>
        <w:bidi w:val="0"/>
        <w:spacing w:before="360" w:after="0"/>
        <w:jc w:val="left"/>
        <w:rPr>
          <w:rFonts w:ascii="Times New Roman" w:hAnsi="Times New Roman"/>
          <w:i/>
          <w:sz w:val="20"/>
        </w:rPr>
      </w:pPr>
      <w:r>
        <w:rPr>
          <w:rFonts w:ascii="Times New Roman" w:hAnsi="Times New Roman"/>
          <w:i/>
          <w:sz w:val="20"/>
        </w:rPr>
        <w:t xml:space="preserve">Finance Costs </w:t>
      </w:r>
    </w:p>
    <w:p>
      <w:pPr>
        <w:pStyle w:val="TextBody"/>
        <w:bidi w:val="0"/>
        <w:spacing w:before="120" w:after="0"/>
        <w:jc w:val="left"/>
        <w:rPr>
          <w:rFonts w:ascii="Times New Roman" w:hAnsi="Times New Roman"/>
          <w:sz w:val="20"/>
        </w:rPr>
      </w:pPr>
      <w:r>
        <w:rPr>
          <w:rFonts w:ascii="Times New Roman" w:hAnsi="Times New Roman"/>
          <w:sz w:val="20"/>
        </w:rPr>
        <w:t xml:space="preserve">Finance costs increased by EUR 15.6 million to EUR 19.4 million for the six months ended June 30, 2026 as compared to EUR 3.8 million for the six months ended June 30, 2025. Finance costs increased by EUR 6.7 million to EUR 7.3 million for the three months ended June 30, 2026 as compared to EUR 0.6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was primarily attributable to a share price-driven increase in the fair value of the Kreos Loan warrants of EUR 5.1 million, an increase of EUR 9.0 million in the fair value of the derivative financial liability relating to the conversion option embedded in the Aalto loan agreement, and revisions to the estimated future cash flows of the Kreos Loan. </w:t>
      </w:r>
    </w:p>
    <w:p>
      <w:pPr>
        <w:pStyle w:val="TextBody"/>
        <w:bidi w:val="0"/>
        <w:spacing w:before="240" w:after="0"/>
        <w:jc w:val="left"/>
        <w:rPr>
          <w:rFonts w:ascii="Times New Roman" w:hAnsi="Times New Roman"/>
          <w:sz w:val="20"/>
        </w:rPr>
      </w:pPr>
      <w:r>
        <w:rPr>
          <w:rFonts w:ascii="Times New Roman" w:hAnsi="Times New Roman"/>
          <w:sz w:val="20"/>
        </w:rPr>
        <w:t xml:space="preserve">As the Company exercised its prepayment option, the Kreos loan agreement was terminated. As a result, the deferred transaction costs attributable to Tranche B in the amount of EUR 2,196 thousand were expensed in full as of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results of operations for the years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4"/>
        <w:gridCol w:w="203"/>
        <w:gridCol w:w="75"/>
        <w:gridCol w:w="998"/>
        <w:gridCol w:w="478"/>
        <w:gridCol w:w="162"/>
        <w:gridCol w:w="75"/>
        <w:gridCol w:w="1000"/>
        <w:gridCol w:w="390"/>
        <w:gridCol w:w="148"/>
        <w:gridCol w:w="69"/>
        <w:gridCol w:w="856"/>
        <w:gridCol w:w="215"/>
        <w:gridCol w:w="147"/>
        <w:gridCol w:w="60"/>
        <w:gridCol w:w="417"/>
        <w:gridCol w:w="398"/>
      </w:tblGrid>
      <w:tr>
        <w:trPr/>
        <w:tc>
          <w:tcPr>
            <w:tcW w:w="451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51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788" w:type="dxa"/>
            <w:gridSpan w:val="6"/>
            <w:tcBorders/>
            <w:vAlign w:val="bottom"/>
          </w:tcPr>
          <w:p>
            <w:pPr>
              <w:pStyle w:val="TableContents"/>
              <w:bidi w:val="0"/>
              <w:spacing w:before="0" w:after="283"/>
              <w:jc w:val="center"/>
              <w:rPr>
                <w:b/>
              </w:rPr>
            </w:pPr>
            <w:r>
              <w:rPr>
                <w:b/>
              </w:rPr>
              <w:t>Year ended December 31,</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64" w:type="dxa"/>
            <w:gridSpan w:val="6"/>
            <w:tcBorders/>
            <w:vAlign w:val="bottom"/>
          </w:tcPr>
          <w:p>
            <w:pPr>
              <w:pStyle w:val="TableContents"/>
              <w:bidi w:val="0"/>
              <w:spacing w:before="0" w:after="283"/>
              <w:jc w:val="center"/>
              <w:rPr>
                <w:b/>
              </w:rPr>
            </w:pPr>
            <w:r>
              <w:rPr>
                <w:b/>
              </w:rPr>
              <w:t>Change</w:t>
            </w:r>
          </w:p>
        </w:tc>
        <w:tc>
          <w:tcPr>
            <w:tcW w:w="398"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03"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7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98"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31,333</w:t>
            </w:r>
          </w:p>
        </w:tc>
        <w:tc>
          <w:tcPr>
            <w:tcW w:w="47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16,436</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14,897</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91</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(16,350</w:t>
            </w:r>
          </w:p>
        </w:tc>
        <w:tc>
          <w:tcPr>
            <w:tcW w:w="478" w:type="dxa"/>
            <w:tcBorders/>
            <w:vAlign w:val="bottom"/>
          </w:tcPr>
          <w:p>
            <w:pPr>
              <w:pStyle w:val="TableContents"/>
              <w:bidi w:val="0"/>
              <w:spacing w:before="0" w:after="283"/>
              <w:jc w:val="left"/>
              <w:rPr/>
            </w:pPr>
            <w:r>
              <w:rPr/>
              <w:t>)</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(11,353</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(4,997</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44</w:t>
            </w:r>
          </w:p>
        </w:tc>
        <w:tc>
          <w:tcPr>
            <w:tcW w:w="398" w:type="dxa"/>
            <w:tcBorders/>
            <w:vAlign w:val="bottom"/>
          </w:tcPr>
          <w:p>
            <w:pPr>
              <w:pStyle w:val="TableContents"/>
              <w:bidi w:val="0"/>
              <w:spacing w:before="0" w:after="283"/>
              <w:jc w:val="left"/>
              <w:rPr/>
            </w:pPr>
            <w:r>
              <w:rPr/>
              <w:t>%</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14,983</w:t>
            </w:r>
          </w:p>
        </w:tc>
        <w:tc>
          <w:tcPr>
            <w:tcW w:w="47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5,083</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9,900</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b/>
              </w:rPr>
            </w:pPr>
            <w:r>
              <w:rPr>
                <w:b/>
              </w:rPr>
              <w:t>195</w:t>
            </w:r>
          </w:p>
        </w:tc>
        <w:tc>
          <w:tcPr>
            <w:tcW w:w="398" w:type="dxa"/>
            <w:tcBorders/>
            <w:shd w:fill="CCEEFF" w:val="clear"/>
            <w:vAlign w:val="bottom"/>
          </w:tcPr>
          <w:p>
            <w:pPr>
              <w:pStyle w:val="TableContents"/>
              <w:bidi w:val="0"/>
              <w:spacing w:before="0" w:after="283"/>
              <w:jc w:val="left"/>
              <w:rPr>
                <w:b/>
              </w:rPr>
            </w:pPr>
            <w:r>
              <w:rPr>
                <w:b/>
              </w:rPr>
              <w:t>%  </w:t>
            </w:r>
          </w:p>
        </w:tc>
      </w:tr>
      <w:tr>
        <w:trPr/>
        <w:tc>
          <w:tcPr>
            <w:tcW w:w="4514"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48</w:t>
            </w:r>
          </w:p>
        </w:tc>
        <w:tc>
          <w:tcPr>
            <w:tcW w:w="478"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31</w:t>
            </w:r>
          </w:p>
        </w:tc>
        <w:tc>
          <w:tcPr>
            <w:tcW w:w="390"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— </w:t>
            </w:r>
          </w:p>
        </w:tc>
        <w:tc>
          <w:tcPr>
            <w:tcW w:w="398"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(5,879</w:t>
            </w:r>
          </w:p>
        </w:tc>
        <w:tc>
          <w:tcPr>
            <w:tcW w:w="478" w:type="dxa"/>
            <w:tcBorders/>
            <w:shd w:fill="CCEEFF" w:val="clear"/>
            <w:vAlign w:val="bottom"/>
          </w:tcPr>
          <w:p>
            <w:pPr>
              <w:pStyle w:val="TableContents"/>
              <w:bidi w:val="0"/>
              <w:spacing w:before="0" w:after="283"/>
              <w:jc w:val="left"/>
              <w:rPr/>
            </w:pPr>
            <w:r>
              <w:rPr/>
              <w:t>)</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(4,451</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(1,428</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32</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(18,475</w:t>
            </w:r>
          </w:p>
        </w:tc>
        <w:tc>
          <w:tcPr>
            <w:tcW w:w="478" w:type="dxa"/>
            <w:tcBorders/>
            <w:vAlign w:val="bottom"/>
          </w:tcPr>
          <w:p>
            <w:pPr>
              <w:pStyle w:val="TableContents"/>
              <w:bidi w:val="0"/>
              <w:spacing w:before="0" w:after="283"/>
              <w:jc w:val="left"/>
              <w:rPr/>
            </w:pPr>
            <w:r>
              <w:rPr/>
              <w:t>)</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(12,401</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(6,074</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49</w:t>
            </w:r>
          </w:p>
        </w:tc>
        <w:tc>
          <w:tcPr>
            <w:tcW w:w="398" w:type="dxa"/>
            <w:tcBorders/>
            <w:vAlign w:val="bottom"/>
          </w:tcPr>
          <w:p>
            <w:pPr>
              <w:pStyle w:val="TableContents"/>
              <w:bidi w:val="0"/>
              <w:spacing w:before="0" w:after="283"/>
              <w:jc w:val="left"/>
              <w:rPr/>
            </w:pPr>
            <w:r>
              <w:rPr/>
              <w:t>%</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(50,676</w:t>
            </w:r>
          </w:p>
        </w:tc>
        <w:tc>
          <w:tcPr>
            <w:tcW w:w="478" w:type="dxa"/>
            <w:tcBorders/>
            <w:shd w:fill="CCEEFF" w:val="clear"/>
            <w:vAlign w:val="bottom"/>
          </w:tcPr>
          <w:p>
            <w:pPr>
              <w:pStyle w:val="TableContents"/>
              <w:bidi w:val="0"/>
              <w:spacing w:before="0" w:after="283"/>
              <w:jc w:val="left"/>
              <w:rPr/>
            </w:pPr>
            <w:r>
              <w:rPr/>
              <w:t>)</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(42,416</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(8,260</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19</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(182</w:t>
            </w:r>
          </w:p>
        </w:tc>
        <w:tc>
          <w:tcPr>
            <w:tcW w:w="478" w:type="dxa"/>
            <w:tcBorders/>
            <w:vAlign w:val="bottom"/>
          </w:tcPr>
          <w:p>
            <w:pPr>
              <w:pStyle w:val="TableContents"/>
              <w:bidi w:val="0"/>
              <w:spacing w:before="0" w:after="283"/>
              <w:jc w:val="left"/>
              <w:rPr/>
            </w:pPr>
            <w:r>
              <w:rPr/>
              <w:t>)</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19</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(201</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NM</w:t>
            </w:r>
          </w:p>
        </w:tc>
        <w:tc>
          <w:tcPr>
            <w:tcW w:w="398"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3,945</w:t>
            </w:r>
          </w:p>
        </w:tc>
        <w:tc>
          <w:tcPr>
            <w:tcW w:w="47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4,130</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(186</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(4</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(1,778</w:t>
            </w:r>
          </w:p>
        </w:tc>
        <w:tc>
          <w:tcPr>
            <w:tcW w:w="478" w:type="dxa"/>
            <w:tcBorders/>
            <w:vAlign w:val="bottom"/>
          </w:tcPr>
          <w:p>
            <w:pPr>
              <w:pStyle w:val="TableContents"/>
              <w:bidi w:val="0"/>
              <w:spacing w:before="0" w:after="283"/>
              <w:jc w:val="left"/>
              <w:rPr/>
            </w:pPr>
            <w:r>
              <w:rPr/>
              <w:t>)</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(1,778</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NM</w:t>
            </w:r>
          </w:p>
        </w:tc>
        <w:tc>
          <w:tcPr>
            <w:tcW w:w="398"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(58,063</w:t>
            </w:r>
          </w:p>
        </w:tc>
        <w:tc>
          <w:tcPr>
            <w:tcW w:w="478" w:type="dxa"/>
            <w:tcBorders/>
            <w:shd w:fill="CCEEFF" w:val="clear"/>
            <w:vAlign w:val="bottom"/>
          </w:tcPr>
          <w:p>
            <w:pPr>
              <w:pStyle w:val="TableContents"/>
              <w:bidi w:val="0"/>
              <w:spacing w:before="0" w:after="283"/>
              <w:jc w:val="left"/>
              <w:rPr>
                <w:b/>
              </w:rPr>
            </w:pPr>
            <w:r>
              <w:rPr>
                <w:b/>
              </w:rPr>
              <w:t>)  </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(50,037</w:t>
            </w:r>
          </w:p>
        </w:tc>
        <w:tc>
          <w:tcPr>
            <w:tcW w:w="390"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(8,027</w:t>
            </w:r>
          </w:p>
        </w:tc>
        <w:tc>
          <w:tcPr>
            <w:tcW w:w="215" w:type="dxa"/>
            <w:tcBorders/>
            <w:shd w:fill="CCEEFF" w:val="clear"/>
            <w:vAlign w:val="bottom"/>
          </w:tcPr>
          <w:p>
            <w:pPr>
              <w:pStyle w:val="TableContents"/>
              <w:bidi w:val="0"/>
              <w:spacing w:before="0" w:after="283"/>
              <w:jc w:val="left"/>
              <w:rPr>
                <w:b/>
              </w:rPr>
            </w:pPr>
            <w:r>
              <w:rPr>
                <w:b/>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b/>
              </w:rPr>
            </w:pPr>
            <w:r>
              <w:rPr>
                <w:b/>
              </w:rPr>
              <w:t>16</w:t>
            </w:r>
          </w:p>
        </w:tc>
        <w:tc>
          <w:tcPr>
            <w:tcW w:w="398" w:type="dxa"/>
            <w:tcBorders/>
            <w:shd w:fill="CCEEFF" w:val="clear"/>
            <w:vAlign w:val="bottom"/>
          </w:tcPr>
          <w:p>
            <w:pPr>
              <w:pStyle w:val="TableContents"/>
              <w:bidi w:val="0"/>
              <w:spacing w:before="0" w:after="283"/>
              <w:jc w:val="left"/>
              <w:rPr>
                <w:b/>
              </w:rPr>
            </w:pPr>
            <w:r>
              <w:rPr>
                <w:b/>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10,220</w:t>
            </w:r>
          </w:p>
        </w:tc>
        <w:tc>
          <w:tcPr>
            <w:tcW w:w="47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1,246</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8,974</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NM</w:t>
            </w:r>
          </w:p>
        </w:tc>
        <w:tc>
          <w:tcPr>
            <w:tcW w:w="398"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(6,213</w:t>
            </w:r>
          </w:p>
        </w:tc>
        <w:tc>
          <w:tcPr>
            <w:tcW w:w="478" w:type="dxa"/>
            <w:tcBorders/>
            <w:shd w:fill="CCEEFF" w:val="clear"/>
            <w:vAlign w:val="bottom"/>
          </w:tcPr>
          <w:p>
            <w:pPr>
              <w:pStyle w:val="TableContents"/>
              <w:bidi w:val="0"/>
              <w:spacing w:before="0" w:after="283"/>
              <w:jc w:val="left"/>
              <w:rPr/>
            </w:pPr>
            <w:r>
              <w:rPr/>
              <w:t>)</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(5,312</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(901</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17</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(54,056</w:t>
            </w:r>
          </w:p>
        </w:tc>
        <w:tc>
          <w:tcPr>
            <w:tcW w:w="478"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(54,103</w:t>
            </w:r>
          </w:p>
        </w:tc>
        <w:tc>
          <w:tcPr>
            <w:tcW w:w="390"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47</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b/>
              </w:rPr>
            </w:pPr>
            <w:r>
              <w:rPr>
                <w:b/>
              </w:rPr>
              <w:t>0</w:t>
            </w:r>
          </w:p>
        </w:tc>
        <w:tc>
          <w:tcPr>
            <w:tcW w:w="398" w:type="dxa"/>
            <w:tcBorders/>
            <w:vAlign w:val="bottom"/>
          </w:tcPr>
          <w:p>
            <w:pPr>
              <w:pStyle w:val="TableContents"/>
              <w:bidi w:val="0"/>
              <w:spacing w:before="0" w:after="283"/>
              <w:jc w:val="left"/>
              <w:rPr>
                <w:b/>
              </w:rPr>
            </w:pPr>
            <w:r>
              <w:rPr>
                <w:b/>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(333</w:t>
            </w:r>
          </w:p>
        </w:tc>
        <w:tc>
          <w:tcPr>
            <w:tcW w:w="478" w:type="dxa"/>
            <w:tcBorders/>
            <w:shd w:fill="CCEEFF" w:val="clear"/>
            <w:vAlign w:val="bottom"/>
          </w:tcPr>
          <w:p>
            <w:pPr>
              <w:pStyle w:val="TableContents"/>
              <w:bidi w:val="0"/>
              <w:spacing w:before="0" w:after="283"/>
              <w:jc w:val="left"/>
              <w:rPr/>
            </w:pPr>
            <w:r>
              <w:rPr/>
              <w:t>)</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(331</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NM</w:t>
            </w:r>
          </w:p>
        </w:tc>
        <w:tc>
          <w:tcPr>
            <w:tcW w:w="398" w:type="dxa"/>
            <w:tcBorders/>
            <w:shd w:fill="CCEEFF" w:val="clear"/>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(54,389</w:t>
            </w:r>
          </w:p>
        </w:tc>
        <w:tc>
          <w:tcPr>
            <w:tcW w:w="478"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(54,105</w:t>
            </w:r>
          </w:p>
        </w:tc>
        <w:tc>
          <w:tcPr>
            <w:tcW w:w="390"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(284</w:t>
            </w:r>
          </w:p>
        </w:tc>
        <w:tc>
          <w:tcPr>
            <w:tcW w:w="215" w:type="dxa"/>
            <w:tcBorders/>
            <w:vAlign w:val="bottom"/>
          </w:tcPr>
          <w:p>
            <w:pPr>
              <w:pStyle w:val="TableContents"/>
              <w:bidi w:val="0"/>
              <w:spacing w:before="0" w:after="283"/>
              <w:jc w:val="left"/>
              <w:rPr>
                <w:b/>
              </w:rPr>
            </w:pPr>
            <w:r>
              <w:rPr>
                <w:b/>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b/>
              </w:rPr>
            </w:pPr>
            <w:r>
              <w:rPr>
                <w:b/>
              </w:rPr>
              <w:t>1</w:t>
            </w:r>
          </w:p>
        </w:tc>
        <w:tc>
          <w:tcPr>
            <w:tcW w:w="398" w:type="dxa"/>
            <w:tcBorders/>
            <w:vAlign w:val="bottom"/>
          </w:tcPr>
          <w:p>
            <w:pPr>
              <w:pStyle w:val="TableContents"/>
              <w:bidi w:val="0"/>
              <w:spacing w:before="0" w:after="283"/>
              <w:jc w:val="left"/>
              <w:rPr>
                <w:b/>
              </w:rPr>
            </w:pPr>
            <w:r>
              <w:rPr>
                <w:b/>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14.9 million, or 91% year-over-year, to 31.3 million for the year ended December 31, 2025 as compared to 16.4 million for the year ended December 31, 2024. The increase in revenue was primarily driven by the conversion of 18.4 million of year-end 2024 backlog into recognized revenue in 2025 as well as the recognition of 12.9 million from new orders as revenue in 2025. </w:t>
      </w:r>
    </w:p>
    <w:p>
      <w:pPr>
        <w:pStyle w:val="TextBody"/>
        <w:bidi w:val="0"/>
        <w:spacing w:before="240" w:after="0"/>
        <w:jc w:val="left"/>
        <w:rPr>
          <w:rFonts w:ascii="Times New Roman" w:hAnsi="Times New Roman"/>
          <w:sz w:val="20"/>
        </w:rPr>
      </w:pPr>
      <w:r>
        <w:rPr>
          <w:rFonts w:ascii="Times New Roman" w:hAnsi="Times New Roman"/>
          <w:sz w:val="20"/>
        </w:rPr>
        <w:t xml:space="preserve">Revenue from the sale of on-premises quantum computer systems increased by 15.6 million, or 104% to 30.6 million for the year ended December 31, 2025, compared to 15.0 million for the year ended December 31, 2024, driven by the conversion of year-end backlog and recognition of new orders as revenue in 2025 as noted above. Revenue from professional services increased by EUR 0.1 million in 2025 from nil in 2024, driven by increased support services as a result of the increase in hardware sales. Revenue from cloud based usage increased by 0.2 million, or 492%, to 0.3 million for the year ended December 31, 2025 from 48 thousand for the year ended December 31, 2024, driven by increased usage of, and number of subscribers to, our quantum computing platform. Revenue from co-development projects decreased by 1.1 million, or 76%, to 0.3 million for the year ended December 31, 2025 from 1.4 million for the year ended December 31, 2024, due to increased focus on hardware sales. </w:t>
      </w:r>
    </w:p>
    <w:p>
      <w:pPr>
        <w:pStyle w:val="TextBody"/>
        <w:bidi w:val="0"/>
        <w:spacing w:before="360" w:after="0"/>
        <w:jc w:val="left"/>
        <w:rPr>
          <w:rFonts w:ascii="Times New Roman" w:hAnsi="Times New Roman"/>
          <w:sz w:val="20"/>
        </w:rPr>
      </w:pPr>
      <w:r>
        <w:rPr>
          <w:rFonts w:ascii="Times New Roman" w:hAnsi="Times New Roman"/>
          <w:b/>
          <w:i/>
          <w:sz w:val="20"/>
        </w:rPr>
        <w:t>Cost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Cost of revenue increased by 5.0 million, or 44%, to 16.3 million for the year ended December 31, 2025 as compared to 11.4 million for the year ended December 31, 2024. The increase in cost of revenue was primarily driven by an increase in consumption of materials and resources used in production and delivery of our quantum computing systems of 3.7 million. </w:t>
      </w:r>
    </w:p>
    <w:p>
      <w:pPr>
        <w:pStyle w:val="TextBody"/>
        <w:bidi w:val="0"/>
        <w:spacing w:before="360" w:after="0"/>
        <w:jc w:val="left"/>
        <w:rPr>
          <w:rFonts w:ascii="Times New Roman" w:hAnsi="Times New Roman"/>
          <w:sz w:val="20"/>
        </w:rPr>
      </w:pPr>
      <w:r>
        <w:rPr>
          <w:rFonts w:ascii="Times New Roman" w:hAnsi="Times New Roman"/>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Selling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increased by 1.4 million, or 32%, to 5.9 million for the year ended December 31, 2025 as compared to 4.5 million for the year ended December 31, 2024. The increase was primarily due to an increase of 1.0 million in personnel-related costs, an increase of 0.1 million in consulting fees, and an increase of 0.1 million in conference expenses, trade shows and other marketing-related events. </w:t>
      </w:r>
    </w:p>
    <w:p>
      <w:pPr>
        <w:pStyle w:val="TextBody"/>
        <w:bidi w:val="0"/>
        <w:spacing w:before="12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increased by 6.1 million, or 49%, to 18.5 million for the year ended December 31, 2025 as compared to 12.4 million for the year ended December 31, 2024. The increase was primarily due to an increase of 2.5 million in personnel-related costs from expanded headcount and an increase of 1.9 million in consulting and professional fees.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increased by 8.3 million, or 19%, to 50.7 million for the year ended December 31, 2025 as compared to 42.4 million for the year ended December 31, 2024. The increase was primarily due to an increase of 6.7 million in personnel-related costs.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Losses on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Impairment losses on financial assets increased by 0.2 million to 0.2 million for the year ended December 31, 2025 as compared to 19 thousand for the year ended December 31, 2024. The increase was mainly driven by greater expected credit losses due to an increase in trade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decreased by 0.2 million, or 4%, to 3.9 million for the year ended December 31, 2025 as compared to 4.1 million for the year ended December 31, 2024. The decrease was mainly driven by lower grant income following the completion of certain R&amp;D funded projects.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expenses increased by 1.8 million to 1.8 million for the year ended December 31, 2025 as compared to nil for the year ended December 31, 2024. The increase was mainly driven by the recognition of a 1.7 million impairment of property, plant and equipment relating to hardware that management has deemed to not meet requirements for usage and intends to sell within next 12 months. </w:t>
      </w:r>
    </w:p>
    <w:p>
      <w:pPr>
        <w:pStyle w:val="TextBody"/>
        <w:bidi w:val="0"/>
        <w:spacing w:before="360" w:after="0"/>
        <w:jc w:val="left"/>
        <w:rPr>
          <w:rFonts w:ascii="Times New Roman" w:hAnsi="Times New Roman"/>
          <w:sz w:val="20"/>
        </w:rPr>
      </w:pPr>
      <w:r>
        <w:rPr>
          <w:rFonts w:ascii="Times New Roman" w:hAnsi="Times New Roman"/>
          <w:b/>
          <w:i/>
          <w:sz w:val="20"/>
        </w:rPr>
        <w:t>Financial Result</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Finance Income </w:t>
      </w:r>
    </w:p>
    <w:p>
      <w:pPr>
        <w:pStyle w:val="TextBody"/>
        <w:bidi w:val="0"/>
        <w:spacing w:before="240" w:after="0"/>
        <w:jc w:val="left"/>
        <w:rPr>
          <w:rFonts w:ascii="Times New Roman" w:hAnsi="Times New Roman"/>
          <w:sz w:val="20"/>
        </w:rPr>
      </w:pPr>
      <w:r>
        <w:rPr>
          <w:rFonts w:ascii="Times New Roman" w:hAnsi="Times New Roman"/>
          <w:sz w:val="20"/>
        </w:rPr>
        <w:t xml:space="preserve">Finance income increased by 9.0 million to 10.2 million for the year ended December 31, 2025 as compared to 1.2 million for the year ended December 31, 2024. The increase was largely driven by an increase of 1.9 million in interest income of financial assets measured at amortized cost and an increase of 7.1 million in fair value gains from financial liabilities relating to a derecognition of a derivative financial liability related to the repayment of a convertible loan. </w:t>
      </w:r>
    </w:p>
    <w:p>
      <w:pPr>
        <w:pStyle w:val="TextBody"/>
        <w:bidi w:val="0"/>
        <w:spacing w:before="240" w:after="0"/>
        <w:jc w:val="left"/>
        <w:rPr>
          <w:rFonts w:ascii="Times New Roman" w:hAnsi="Times New Roman"/>
          <w:i/>
          <w:sz w:val="20"/>
        </w:rPr>
      </w:pPr>
      <w:r>
        <w:rPr>
          <w:rFonts w:ascii="Times New Roman" w:hAnsi="Times New Roman"/>
          <w:i/>
          <w:sz w:val="20"/>
        </w:rPr>
        <w:t xml:space="preserve">Finance Costs </w:t>
      </w:r>
    </w:p>
    <w:p>
      <w:pPr>
        <w:pStyle w:val="TextBody"/>
        <w:bidi w:val="0"/>
        <w:spacing w:before="240" w:after="0"/>
        <w:jc w:val="left"/>
        <w:rPr>
          <w:rFonts w:ascii="Times New Roman" w:hAnsi="Times New Roman"/>
          <w:sz w:val="20"/>
        </w:rPr>
      </w:pPr>
      <w:r>
        <w:rPr>
          <w:rFonts w:ascii="Times New Roman" w:hAnsi="Times New Roman"/>
          <w:sz w:val="20"/>
        </w:rPr>
        <w:t xml:space="preserve">Finance costs increased by 0.9 million to 6.2 million for the year ended December 31, 2025 as compared to 5.3 million for the year ended December 31, 2024. The increase was largely driven by 4.4 million in early repayment fees for a convertible loan. </w:t>
      </w:r>
    </w:p>
    <w:p>
      <w:pPr>
        <w:pStyle w:val="TextBody"/>
        <w:bidi w:val="0"/>
        <w:spacing w:before="360" w:after="0"/>
        <w:jc w:val="left"/>
        <w:rPr>
          <w:rFonts w:ascii="Times New Roman" w:hAnsi="Times New Roman"/>
          <w:sz w:val="20"/>
        </w:rPr>
      </w:pPr>
      <w:r>
        <w:rPr>
          <w:rFonts w:ascii="Times New Roman" w:hAnsi="Times New Roman"/>
          <w:b/>
          <w:sz w:val="20"/>
        </w:rPr>
        <w:t>Key Operating Metric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measures presented in our consolidated financial statements, we use Order Backlog as an indicator of future revenues from existing signed orders. This approach provides management with a transparent bridge from confirmed orders to revenue, linking sales performance with revenue realization, while remaining consistent with the external definition of backlog as confirmed, not yet recognized orders.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this metric provides useful information for the market to understand and evaluate our results of operations in the same manner as our management team. </w:t>
      </w:r>
    </w:p>
    <w:p>
      <w:pPr>
        <w:pStyle w:val="TextBody"/>
        <w:bidi w:val="0"/>
        <w:spacing w:before="240" w:after="0"/>
        <w:jc w:val="left"/>
        <w:rPr>
          <w:rFonts w:ascii="Times New Roman" w:hAnsi="Times New Roman"/>
          <w:sz w:val="20"/>
        </w:rPr>
      </w:pPr>
      <w:r>
        <w:rPr>
          <w:rFonts w:ascii="Times New Roman" w:hAnsi="Times New Roman"/>
          <w:sz w:val="20"/>
        </w:rPr>
        <w:t xml:space="preserve">Order Backlog represents the value of binding customer orders that have been confirmed but not yet recognized as revenue at a point in time. We calculate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w:t>
      </w:r>
    </w:p>
    <w:p>
      <w:pPr>
        <w:pStyle w:val="TextBody"/>
        <w:bidi w:val="0"/>
        <w:spacing w:before="240" w:after="0"/>
        <w:jc w:val="left"/>
        <w:rPr>
          <w:rFonts w:ascii="Times New Roman" w:hAnsi="Times New Roman"/>
          <w:sz w:val="20"/>
        </w:rPr>
      </w:pPr>
      <w:r>
        <w:rPr>
          <w:rFonts w:ascii="Times New Roman" w:hAnsi="Times New Roman"/>
          <w:sz w:val="20"/>
        </w:rPr>
        <w:t>This metric is presented for supplemental informational purposes only, should not be considered a substitute for financial information presented in accordance with IFRS Accounting Standards, and may differ from similarly titled metrics or measures presented by other companies. Certain judgments and estimates are inherent in our processes to calculate this metric.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our Order Backlog (movement) as of June 30, 2026 and June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9"/>
        <w:gridCol w:w="134"/>
        <w:gridCol w:w="60"/>
        <w:gridCol w:w="719"/>
        <w:gridCol w:w="60"/>
        <w:gridCol w:w="134"/>
        <w:gridCol w:w="60"/>
        <w:gridCol w:w="719"/>
        <w:gridCol w:w="60"/>
        <w:gridCol w:w="134"/>
        <w:gridCol w:w="74"/>
        <w:gridCol w:w="815"/>
        <w:gridCol w:w="155"/>
        <w:gridCol w:w="79"/>
        <w:gridCol w:w="60"/>
        <w:gridCol w:w="422"/>
        <w:gridCol w:w="275"/>
        <w:gridCol w:w="79"/>
        <w:gridCol w:w="60"/>
        <w:gridCol w:w="719"/>
        <w:gridCol w:w="60"/>
        <w:gridCol w:w="134"/>
        <w:gridCol w:w="60"/>
        <w:gridCol w:w="719"/>
        <w:gridCol w:w="60"/>
        <w:gridCol w:w="134"/>
        <w:gridCol w:w="63"/>
        <w:gridCol w:w="826"/>
        <w:gridCol w:w="155"/>
        <w:gridCol w:w="79"/>
        <w:gridCol w:w="60"/>
        <w:gridCol w:w="423"/>
        <w:gridCol w:w="285"/>
      </w:tblGrid>
      <w:tr>
        <w:trPr/>
        <w:tc>
          <w:tcPr>
            <w:tcW w:w="232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32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52" w:type="dxa"/>
            <w:gridSpan w:val="6"/>
            <w:tcBorders/>
            <w:vAlign w:val="bottom"/>
          </w:tcPr>
          <w:p>
            <w:pPr>
              <w:pStyle w:val="TableContents"/>
              <w:bidi w:val="0"/>
              <w:spacing w:before="0" w:after="283"/>
              <w:jc w:val="center"/>
              <w:rPr>
                <w:b/>
              </w:rPr>
            </w:pPr>
            <w:r>
              <w:rPr>
                <w:b/>
              </w:rPr>
              <w:t>For the three</w:t>
              <w:br/>
              <w:t>months ended</w:t>
              <w:br/>
              <w:t>June 30,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05" w:type="dxa"/>
            <w:gridSpan w:val="6"/>
            <w:tcBorders/>
            <w:vAlign w:val="bottom"/>
          </w:tcPr>
          <w:p>
            <w:pPr>
              <w:pStyle w:val="TableContents"/>
              <w:bidi w:val="0"/>
              <w:spacing w:before="0" w:after="283"/>
              <w:jc w:val="center"/>
              <w:rPr>
                <w:b/>
              </w:rPr>
            </w:pPr>
            <w:r>
              <w:rPr>
                <w:b/>
              </w:rPr>
              <w:t>Change</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752" w:type="dxa"/>
            <w:gridSpan w:val="6"/>
            <w:tcBorders/>
            <w:vAlign w:val="bottom"/>
          </w:tcPr>
          <w:p>
            <w:pPr>
              <w:pStyle w:val="TableContents"/>
              <w:bidi w:val="0"/>
              <w:spacing w:before="0" w:after="283"/>
              <w:jc w:val="center"/>
              <w:rPr>
                <w:b/>
              </w:rPr>
            </w:pPr>
            <w:r>
              <w:rPr>
                <w:b/>
              </w:rPr>
              <w:t>For the six months</w:t>
              <w:br/>
              <w:t>ended June 30,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06" w:type="dxa"/>
            <w:gridSpan w:val="6"/>
            <w:tcBorders/>
            <w:vAlign w:val="bottom"/>
          </w:tcPr>
          <w:p>
            <w:pPr>
              <w:pStyle w:val="TableContents"/>
              <w:bidi w:val="0"/>
              <w:spacing w:before="0" w:after="283"/>
              <w:jc w:val="center"/>
              <w:rPr>
                <w:b/>
              </w:rPr>
            </w:pPr>
            <w:r>
              <w:rPr>
                <w:b/>
              </w:rPr>
              <w:t>Change</w:t>
            </w:r>
          </w:p>
        </w:tc>
        <w:tc>
          <w:tcPr>
            <w:tcW w:w="285"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4"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reporting period</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65,457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74,680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(9,223</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67,321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30,132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37,190</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123</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10,332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6,144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4,188</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10,654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51,493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(40,839</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-79</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9,871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6,073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3,798</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63</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9,871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51,073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(41,202</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-81</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194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267</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NM</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267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267</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NM</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517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48</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6,684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5,233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1,450</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8,870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6,034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2,836</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6,356</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5,225</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1,130</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8,276</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5,654</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2,622</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46</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NM</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NM</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450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NM</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reporting period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69,106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75,591</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(6,485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69,106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75,591</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(6,485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w:t>
            </w:r>
          </w:p>
        </w:tc>
        <w:tc>
          <w:tcPr>
            <w:tcW w:w="28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Order Backlog increased by EUR 1.8 million, or 3%, to EUR 69.1 million during the six months ended June 30, 2026. 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For the six months ended June 30, 2025, Order Intake amounted to EUR 51.5 million while revenue recognition was comparatively low and amounted to EUR 6.0 million. That strong Order Intake in 2025 is still feeding revenue today, with recognized revenue rising by 47% to EUR 8.9 million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In July 2026, after the reporting date, the Company entered into an additional customer agreement for the development, manufacture and delivery of quantum computing hardware, with a contract value of EUR 33.0 million.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Order Backlog (movement) as of December 31, 2025 and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8"/>
        <w:gridCol w:w="264"/>
        <w:gridCol w:w="93"/>
        <w:gridCol w:w="1134"/>
        <w:gridCol w:w="93"/>
        <w:gridCol w:w="317"/>
        <w:gridCol w:w="93"/>
        <w:gridCol w:w="1137"/>
        <w:gridCol w:w="60"/>
        <w:gridCol w:w="264"/>
        <w:gridCol w:w="69"/>
        <w:gridCol w:w="802"/>
        <w:gridCol w:w="155"/>
        <w:gridCol w:w="215"/>
        <w:gridCol w:w="60"/>
        <w:gridCol w:w="439"/>
        <w:gridCol w:w="282"/>
      </w:tblGrid>
      <w:tr>
        <w:trPr/>
        <w:tc>
          <w:tcPr>
            <w:tcW w:w="4728"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72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867" w:type="dxa"/>
            <w:gridSpan w:val="6"/>
            <w:tcBorders/>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740" w:type="dxa"/>
            <w:gridSpan w:val="6"/>
            <w:tcBorders/>
            <w:vAlign w:val="bottom"/>
          </w:tcPr>
          <w:p>
            <w:pPr>
              <w:pStyle w:val="TableContents"/>
              <w:bidi w:val="0"/>
              <w:spacing w:before="0" w:after="283"/>
              <w:jc w:val="center"/>
              <w:rPr>
                <w:b/>
              </w:rPr>
            </w:pPr>
            <w:r>
              <w:rPr>
                <w:b/>
              </w:rPr>
              <w:t>Change</w:t>
            </w:r>
          </w:p>
        </w:tc>
        <w:tc>
          <w:tcPr>
            <w:tcW w:w="282" w:type="dxa"/>
            <w:tcBorders/>
            <w:vAlign w:val="bottom"/>
          </w:tcPr>
          <w:p>
            <w:pPr>
              <w:pStyle w:val="TableContents"/>
              <w:bidi w:val="0"/>
              <w:spacing w:before="0" w:after="283"/>
              <w:jc w:val="left"/>
              <w:rPr/>
            </w:pPr>
            <w:r>
              <w:rPr/>
              <w:t> </w:t>
            </w:r>
          </w:p>
        </w:tc>
      </w:tr>
      <w:tr>
        <w:trPr/>
        <w:tc>
          <w:tcPr>
            <w:tcW w:w="472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64"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year</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30,132</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11,417</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18,715</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62</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68,522</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35,150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33,372</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49</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67,597</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34,736</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32,861</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49</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576</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389</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32</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349</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93</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31,333</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16,436</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14,897</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48</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30,700</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14,962</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15,738</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51</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284</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83</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349</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1,425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(1,076</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NM</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year</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67,321</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30,132</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37,190</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55</w:t>
            </w:r>
          </w:p>
        </w:tc>
        <w:tc>
          <w:tcPr>
            <w:tcW w:w="28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Order Backlog increased 37.2 million as of December 31, 2025. This represented an increase of 55% from the preceding fiscal year. The growth in backlog was driven by rising demand for quantum computing, the acquisition of significant multi-year customer contracts, and the company’s expansion of R&amp;D and production capacity to deliver highly specialized and innovative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Group generated revenue from hardware and services primarily from the sale of on-premises quantum computer systems amounting to EUR 30,588 thousand (2024: EUR 14,962 thousand) and from professional services amounting to EUR 112 thousand (2024: EUR nil thousand). Revenue from cloud based usage of the Group’s quantum computing platform amounted to EUR 284 thousand in 2025 (2024: EUR 48 thousand). The category “Other” comprises revenue from co development projects amounting to EUR 349 thousand (2024: EUR 1,425 thousand).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held cash of EUR 113.4 million and have, to-date, primarily funded our operations through issuances of equity securities, raising net proceeds of EUR 489.5 million, as well as borrowings under debt facilities. Following the closing of the Business Combination on July 1, 2026 we held cash of EUR 309.4 million. Based on current forecasts, management believes our existing resources are sufficient to meet operating and capital expenditure needs for at least the next twelve months from this reporting date. We anticipate that we will meet our long-term cash requirements and obligations through operating cash flows and future equity or debt financings. </w:t>
      </w:r>
    </w:p>
    <w:p>
      <w:pPr>
        <w:pStyle w:val="TextBody"/>
        <w:bidi w:val="0"/>
        <w:spacing w:before="240" w:after="0"/>
        <w:jc w:val="left"/>
        <w:rPr>
          <w:rFonts w:ascii="Times New Roman" w:hAnsi="Times New Roman"/>
          <w:sz w:val="20"/>
        </w:rPr>
      </w:pPr>
      <w:r>
        <w:rPr>
          <w:rFonts w:ascii="Times New Roman" w:hAnsi="Times New Roman"/>
          <w:sz w:val="20"/>
        </w:rPr>
        <w:t xml:space="preserve">We have incurred net losses since inception and experienced negative cash flows from operations. During the six months ended June 30, 2026 and 2025, we incurred net losses of EUR 74.9 million and EUR 34.6 million, respectively. For the three months ended June 30, 2026 and 2025, our net loss was EUR 36.6 million and EUR 15.0 million, respectively. As of June 30, 2026, we had an accumulated deficit of EUR 307.1 million. We expect to incur additional losses and higher operating expenses for the foreseeable future as we continue to invest in research and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Our primary uses of cash are to fund our operations as we continue to grow our business. We will require a significant amount of cash for expenditure as we invest in ongoing research and development and business operations. Until such time as we can generate significant revenue from cloud-based quantum computer offering and our professional services, we expect to finance our cash needs through public or private equity or debt financings or other capital sources. However, we may be unable to raise additional funds or enter into such other arrangements, when needed, on favorable terms or at all. If we are unable to raise additional funds through equity or debt financing when needed, we may be required to delay, limit, or substantially reduce our development efforts. Our future capital requirements and the adequacy of available funds will depend on many factors, including those set forth in the section titled “Risk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Prepayment notice of Kreos Capital loan and Warrants Exercise </w:t>
      </w:r>
    </w:p>
    <w:p>
      <w:pPr>
        <w:pStyle w:val="TextBody"/>
        <w:bidi w:val="0"/>
        <w:spacing w:before="120" w:after="0"/>
        <w:jc w:val="left"/>
        <w:rPr>
          <w:rFonts w:ascii="Times New Roman" w:hAnsi="Times New Roman"/>
          <w:sz w:val="20"/>
        </w:rPr>
      </w:pPr>
      <w:r>
        <w:rPr>
          <w:rFonts w:ascii="Times New Roman" w:hAnsi="Times New Roman"/>
          <w:sz w:val="20"/>
        </w:rPr>
        <w:t>We are party to a loan and security agreement (the “Kreos Loan Agreement”) with Kreos Capital VII (UK) Limited (“Kreos”), dated December 23, 2025. The Kreos Loan Agreement provides for a term loan facility of up to EUR 50.0 million aggregate principal amount, to be drawn in two loans: (i) a first loan of EUR 5.0 million, to be drawn in one tranche on or prior to January 15, 2026, and (ii) a second tranche of EUR 45.0 million, to be drawn in one or more tranches on or prior to July 31, 2026. On January 15, 2026, we drew EUR 5.0 million pursuant to the first loan under the Kreos Loan Agreement.</w:t>
      </w:r>
    </w:p>
    <w:p>
      <w:pPr>
        <w:pStyle w:val="TextBody"/>
        <w:bidi w:val="0"/>
        <w:spacing w:before="240" w:after="0"/>
        <w:jc w:val="left"/>
        <w:rPr>
          <w:rFonts w:ascii="Times New Roman" w:hAnsi="Times New Roman"/>
          <w:sz w:val="20"/>
        </w:rPr>
      </w:pPr>
      <w:r>
        <w:rPr>
          <w:rFonts w:ascii="Times New Roman" w:hAnsi="Times New Roman"/>
          <w:sz w:val="20"/>
        </w:rPr>
        <w:t xml:space="preserve">By the end of June 2026, we delivered a prepayment notice to Kreos pursuant to which we elected to prepay the outstanding principal amount under the Kreos Loan Agreement amounting to EUR 5.0 million. As a result of the notice, the outstanding loan amount was repaid in full on July 31, 2026, after the reporting date, together with accrued interest, a contractual prepayment fee of EUR 0.8 million and any other amounts due under the Kreos Loan Agreement. Following completion of the prepayment, no further amounts will be available to be drawn under the Kreos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entry into the Kreos Loan Agreement, we issued warrants (the “Kreos Warrants”) to Kreos Capital to acquire a number of our ordinary shares equal to EUR 5.0 million divided by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subscription price. On July 9, 2026, subsequent to the reporting date, Kreos Capital exercised the Kreos Warrants in accordance with their contractual terms. As a result of the exercise, the Kreos Warrants were settled through the issuance of ordinary shares and ceased to be outstanding.</w:t>
      </w:r>
    </w:p>
    <w:p>
      <w:pPr>
        <w:pStyle w:val="TextBody"/>
        <w:bidi w:val="0"/>
        <w:spacing w:before="360" w:after="0"/>
        <w:jc w:val="left"/>
        <w:rPr>
          <w:rFonts w:ascii="Times New Roman" w:hAnsi="Times New Roman"/>
          <w:b/>
          <w:i/>
          <w:sz w:val="20"/>
        </w:rPr>
      </w:pPr>
      <w:r>
        <w:rPr>
          <w:rFonts w:ascii="Times New Roman" w:hAnsi="Times New Roman"/>
          <w:b/>
          <w:i/>
          <w:sz w:val="20"/>
        </w:rPr>
        <w:t>Conversion of Loan Agreements with Aalto University Foundation SR</w:t>
      </w:r>
    </w:p>
    <w:p>
      <w:pPr>
        <w:pStyle w:val="TextBody"/>
        <w:bidi w:val="0"/>
        <w:spacing w:before="120" w:after="0"/>
        <w:jc w:val="left"/>
        <w:rPr>
          <w:rFonts w:ascii="Times New Roman" w:hAnsi="Times New Roman"/>
          <w:sz w:val="20"/>
        </w:rPr>
      </w:pPr>
      <w:r>
        <w:rPr>
          <w:rFonts w:ascii="Times New Roman" w:hAnsi="Times New Roman"/>
          <w:sz w:val="20"/>
        </w:rPr>
        <w:t xml:space="preserve">We were party to two convertible loan agreements (collectively, the “Aalto Loan Agreements”) with Aalto University Foundation SR (“Aalto”), dated September 14, 2021, pursuant to which we borrowed an aggregate of 7.8 million. Borrowings under the Aalto Loan Agreements were repayable upon the earlier of (i) the occurrence of specified corporate events, including a listing of our ordinary shares on the Helsinki Stock Exchange or another recognized stock exchange, certain sales of a significant portion of our assets or the liquidation of our company; or (ii) the tenth anniversary of the respective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Aalto Loan Agreement do not bear contractual interest. Borrowings under the Aalto Loan Agreement included a contractual conversion feature, pursuant to which Aalto may convert the principal amount outstanding under the Aalto Loan Agreement into a number of our ordinary shares at a predefined conversion price. The conversion feature is accounted for as embedded derivative financial liabilities measured at fair value through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two convertible loans under the Aalto Loan Agreements with Aalto were fully converted into equity in accordance with their contractual terms. Immediately prior to the conversion, the embedded derivative financial liability was remeasured at fair value, resulting in a fair value loss of EUR 9.0 million recognized within finance expenses for the six months ended June 30, 2026. Upon conversion, the carrying amounts of both the host loan liability and the embedded derivative financial liability were derecognized and recognized directly in equity. Accordingly, no Aalto loan liability remained outstanding as of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Our material contractual commitments as of June 30, 2026 primarily relate to purchases of production material, transaction and placement fees, capital expenditures and existing lease commitments.</w:t>
      </w:r>
    </w:p>
    <w:p>
      <w:pPr>
        <w:pStyle w:val="TextBody"/>
        <w:bidi w:val="0"/>
        <w:spacing w:before="240" w:after="0"/>
        <w:jc w:val="left"/>
        <w:rPr>
          <w:rFonts w:ascii="Times New Roman" w:hAnsi="Times New Roman"/>
          <w:sz w:val="20"/>
        </w:rPr>
      </w:pPr>
      <w:r>
        <w:rPr>
          <w:rFonts w:ascii="Times New Roman" w:hAnsi="Times New Roman"/>
          <w:sz w:val="20"/>
        </w:rPr>
        <w:t xml:space="preserve">Certain material transaction fees became payable upon closing of the Business Combination and the PIPE agreements, after the reporting date on July 1, 2026. A significant portion of the underlying services had already been rendered during the six months ended June 30, 2026. The related fees amounted to EUR 13.5 million in aggregate.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have total lease obligations of EUR 15.2 million, with EUR 2.8 million payable within 12 months. Other than lease commitments, capital expenditures and production material purchases, cash requirements for fiscal year 2026 are expected to consist primarily of operating expenses. </w:t>
      </w:r>
    </w:p>
    <w:p>
      <w:pPr>
        <w:pStyle w:val="TextBody"/>
        <w:bidi w:val="0"/>
        <w:spacing w:before="360" w:after="0"/>
        <w:jc w:val="left"/>
        <w:rPr>
          <w:rFonts w:ascii="Times New Roman" w:hAnsi="Times New Roman"/>
          <w:sz w:val="20"/>
        </w:rPr>
      </w:pPr>
      <w:r>
        <w:rPr>
          <w:rFonts w:ascii="Times New Roman" w:hAnsi="Times New Roman"/>
          <w:b/>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cash flows for the periods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3"/>
        <w:gridCol w:w="246"/>
        <w:gridCol w:w="60"/>
        <w:gridCol w:w="878"/>
        <w:gridCol w:w="155"/>
        <w:gridCol w:w="246"/>
        <w:gridCol w:w="60"/>
        <w:gridCol w:w="907"/>
        <w:gridCol w:w="160"/>
      </w:tblGrid>
      <w:tr>
        <w:trPr/>
        <w:tc>
          <w:tcPr>
            <w:tcW w:w="504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306" w:type="dxa"/>
            <w:gridSpan w:val="6"/>
            <w:tcBorders/>
            <w:vAlign w:val="bottom"/>
          </w:tcPr>
          <w:p>
            <w:pPr>
              <w:pStyle w:val="TableContents"/>
              <w:bidi w:val="0"/>
              <w:spacing w:before="0" w:after="283"/>
              <w:jc w:val="center"/>
              <w:rPr>
                <w:b/>
              </w:rPr>
            </w:pPr>
            <w:r>
              <w:rPr>
                <w:b/>
              </w:rPr>
              <w:t>For the six months</w:t>
              <w:br/>
              <w:t>ended June 30,</w:t>
            </w:r>
          </w:p>
        </w:tc>
        <w:tc>
          <w:tcPr>
            <w:tcW w:w="160"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(50,003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(27,461</w:t>
            </w:r>
          </w:p>
        </w:tc>
        <w:tc>
          <w:tcPr>
            <w:tcW w:w="160"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(5,188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(2,086</w:t>
            </w:r>
          </w:p>
        </w:tc>
        <w:tc>
          <w:tcPr>
            <w:tcW w:w="160"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22,008</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125,713</w:t>
            </w:r>
          </w:p>
        </w:tc>
        <w:tc>
          <w:tcPr>
            <w:tcW w:w="160"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(40</w:t>
            </w:r>
          </w:p>
        </w:tc>
        <w:tc>
          <w:tcPr>
            <w:tcW w:w="160" w:type="dxa"/>
            <w:tcBorders/>
            <w:shd w:fill="CCEEFF" w:val="clear"/>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(33,184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96,166</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Net cash used in operating activities during the six months ended June 30, 2026 was EUR 50.0 million, resulting primarily from a net loss of EUR 74.9 million, adjusted for non-cash charges including depreciation and amortization of EUR 6.5 million and share-based compensation related expenses of EUR 8.8 million as well as finance costs of EUR 14.2 million. These were partially offset by changes in inventories of EUR 12.0 million, EUR 7.4 million in working capital adjustments and other non-cash items of EUR 0.1 million.</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during the six months ended June 30, 2025 was EUR 27.5 million, resulting primarily from a net loss of EUR 34.6 million, adjusted for non-cash charges including depreciation and amortization of EUR 6.2 million. These were partially offset by changes in inventories of EUR 2.2 million, EUR 1.7 million in working capital adjustments and other non-cash items of EUR 0.3 million. Additional adjustments included EUR 2.3 million in share-based payments, and EUR 2.8 million in finance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during the six months ended June 30, 2026 was EUR 5.2 million representing additions of EUR 7.2 million in property and equipment primarily related to the development and upgrade of our quantum computing systems. This outflow was partially offset by interest received of EUR 1.0 million. In addition, during the six months ended June 30, 2026, an industrial system under development, which was presented within other current assets as of year-end due to our intention to sell the asset back to the supplier, was sold to the original supplier for EUR 1.0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during the six months ended June 30, 2025 was EUR 2.1 million, primarily due to purchases of property, plant, and equipment totaling EUR 2.7 million. This outflow was partially offset by interest received of EUR 0.6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during the six months ended June 30, 2026 was EUR 22.0 million, primarily reflecting exercise of warrants of EUR 20.5 million and proceeds from loans and borrowings relating to the Kreos Loan agreement net of paid transaction costs of EUR 4.2 million. This inflow was partially offset by repayments of lease liabilities of EUR 1.3 million and interest paid of EUR 0.6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six months ended June 30, 2025 was EUR 125.7 million, primarily driven by proceeds from equity contribution of EUR 155.6 million and share buybacks of EUR 22.4 million. This inflow was partially offset by repayments of lease liabilities of EUR 1.9 million and interest paid of EUR 0.4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flows for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95"/>
        <w:gridCol w:w="155"/>
        <w:gridCol w:w="82"/>
        <w:gridCol w:w="1112"/>
        <w:gridCol w:w="217"/>
        <w:gridCol w:w="130"/>
        <w:gridCol w:w="82"/>
        <w:gridCol w:w="1073"/>
        <w:gridCol w:w="159"/>
      </w:tblGrid>
      <w:tr>
        <w:trPr/>
        <w:tc>
          <w:tcPr>
            <w:tcW w:w="719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19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55" w:type="dxa"/>
            <w:tcBorders/>
            <w:vAlign w:val="bottom"/>
          </w:tcPr>
          <w:p>
            <w:pPr>
              <w:pStyle w:val="TableContents"/>
              <w:bidi w:val="0"/>
              <w:spacing w:before="0" w:after="283"/>
              <w:jc w:val="left"/>
              <w:rPr/>
            </w:pPr>
            <w:r>
              <w:rPr/>
              <w:t>  </w:t>
            </w:r>
          </w:p>
        </w:tc>
        <w:tc>
          <w:tcPr>
            <w:tcW w:w="1194"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2025</w:t>
            </w:r>
          </w:p>
        </w:tc>
        <w:tc>
          <w:tcPr>
            <w:tcW w:w="21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5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2024</w:t>
            </w:r>
          </w:p>
        </w:tc>
        <w:tc>
          <w:tcPr>
            <w:tcW w:w="159" w:type="dxa"/>
            <w:tcBorders/>
            <w:vAlign w:val="bottom"/>
          </w:tcPr>
          <w:p>
            <w:pPr>
              <w:pStyle w:val="TableContents"/>
              <w:bidi w:val="0"/>
              <w:spacing w:before="0" w:after="283"/>
              <w:jc w:val="left"/>
              <w:rPr/>
            </w:pPr>
            <w:r>
              <w:rPr/>
              <w:t> </w:t>
            </w:r>
          </w:p>
        </w:tc>
      </w:tr>
      <w:tr>
        <w:trPr/>
        <w:tc>
          <w:tcPr>
            <w:tcW w:w="7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95"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(57,197</w:t>
            </w:r>
          </w:p>
        </w:tc>
        <w:tc>
          <w:tcPr>
            <w:tcW w:w="21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(39,470</w:t>
            </w:r>
          </w:p>
        </w:tc>
        <w:tc>
          <w:tcPr>
            <w:tcW w:w="159" w:type="dxa"/>
            <w:tcBorders/>
            <w:vAlign w:val="bottom"/>
          </w:tcPr>
          <w:p>
            <w:pPr>
              <w:pStyle w:val="TableContents"/>
              <w:bidi w:val="0"/>
              <w:spacing w:before="0" w:after="283"/>
              <w:jc w:val="left"/>
              <w:rPr/>
            </w:pPr>
            <w:r>
              <w:rPr/>
              <w:t>) </w:t>
            </w:r>
          </w:p>
        </w:tc>
      </w:tr>
      <w:tr>
        <w:trPr/>
        <w:tc>
          <w:tcPr>
            <w:tcW w:w="7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(9,597</w:t>
            </w:r>
          </w:p>
        </w:tc>
        <w:tc>
          <w:tcPr>
            <w:tcW w:w="21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(11,486</w:t>
            </w:r>
          </w:p>
        </w:tc>
        <w:tc>
          <w:tcPr>
            <w:tcW w:w="159" w:type="dxa"/>
            <w:tcBorders/>
            <w:shd w:fill="CCEEFF" w:val="clear"/>
            <w:vAlign w:val="bottom"/>
          </w:tcPr>
          <w:p>
            <w:pPr>
              <w:pStyle w:val="TableContents"/>
              <w:bidi w:val="0"/>
              <w:spacing w:before="0" w:after="283"/>
              <w:jc w:val="left"/>
              <w:rPr/>
            </w:pPr>
            <w:r>
              <w:rPr/>
              <w:t>) </w:t>
            </w:r>
          </w:p>
        </w:tc>
      </w:tr>
      <w:tr>
        <w:trPr/>
        <w:tc>
          <w:tcPr>
            <w:tcW w:w="719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196,149</w:t>
            </w:r>
          </w:p>
        </w:tc>
        <w:tc>
          <w:tcPr>
            <w:tcW w:w="21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11,533</w:t>
            </w:r>
          </w:p>
        </w:tc>
        <w:tc>
          <w:tcPr>
            <w:tcW w:w="159" w:type="dxa"/>
            <w:tcBorders/>
            <w:vAlign w:val="bottom"/>
          </w:tcPr>
          <w:p>
            <w:pPr>
              <w:pStyle w:val="TableContents"/>
              <w:bidi w:val="0"/>
              <w:spacing w:before="0" w:after="283"/>
              <w:jc w:val="left"/>
              <w:rPr/>
            </w:pPr>
            <w:r>
              <w:rPr/>
              <w:t> </w:t>
            </w:r>
          </w:p>
        </w:tc>
      </w:tr>
      <w:tr>
        <w:trPr/>
        <w:tc>
          <w:tcPr>
            <w:tcW w:w="7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(57</w:t>
            </w:r>
          </w:p>
        </w:tc>
        <w:tc>
          <w:tcPr>
            <w:tcW w:w="21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30</w:t>
            </w:r>
          </w:p>
        </w:tc>
        <w:tc>
          <w:tcPr>
            <w:tcW w:w="159" w:type="dxa"/>
            <w:tcBorders/>
            <w:shd w:fill="CCEEFF" w:val="clear"/>
            <w:vAlign w:val="bottom"/>
          </w:tcPr>
          <w:p>
            <w:pPr>
              <w:pStyle w:val="TableContents"/>
              <w:bidi w:val="0"/>
              <w:spacing w:before="0" w:after="283"/>
              <w:jc w:val="left"/>
              <w:rPr/>
            </w:pPr>
            <w:r>
              <w:rPr/>
              <w:t> </w:t>
            </w:r>
          </w:p>
        </w:tc>
      </w:tr>
      <w:tr>
        <w:trPr/>
        <w:tc>
          <w:tcPr>
            <w:tcW w:w="71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95"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129,355</w:t>
            </w:r>
          </w:p>
        </w:tc>
        <w:tc>
          <w:tcPr>
            <w:tcW w:w="21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(39,424</w:t>
            </w:r>
          </w:p>
        </w:tc>
        <w:tc>
          <w:tcPr>
            <w:tcW w:w="15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during the year ended December 31, 2025 was 57.2 million, resulting primarily from a net loss of 54.4 million, adjusted for non-cash charges including depreciation and amortization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14.8 million, and 1.2 million in gain on sale of property, plant and equipment. These were partially offset by changes in inventories of 7.8 million, 14.1 million in working capital adjustments and other non-cash items of 0.6 million. Additional adjustments included 6.3 million in share-based payments and 4.2 million in finance cost.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during the year ended December 31, 2024 was 39.5 million, resulting primarily from a net loss of 54.1 million, adjusted for non-cash charges including depreciation and amortization of 11.6 million. Changes in working capital reflected cash outflow from inventories of 1.0 million, contract assets of 0.6 million, other assets of 2.3 million, trade payables of 3.7 million, and contract liabilities of 2.9 million. These were partially offset by changes in employee benefits of 0.3 million and other liabilities of 1.5 million. Additional adjustments included 2.6 million in share-based payments, and 4.1 million in finance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during the year ended December 31, 2025 was 9.6 million representing additions of 11.5 million in property and equipment primarily related to the development and upgrade of our quantum computing systems. This outflow was partially offset by interest received of 1.9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during the year ended December 31, 2024 was 11.5 million, primarily due to purchases of property, plant, and equipment totaling 11.5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Provided by Financing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year ended December 31, 2025 was 196.1 million, primarily reflecting proceeds from equity contributions received of 282.2 million, offset by the repayment of loans of 41.0 million and the repurchase of treasury shares of 29.5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year ended December 31, 2024 was 11.5 million, primarily driven by proceeds from loans and borrowings of 15.0 million. This inflow was partially offset by repayments of loans and borrowings of 1.0 million, repayments of lease liabilities of 3.5 million, and interest paid of 1.2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Patents and Licenses </w:t>
      </w:r>
    </w:p>
    <w:p>
      <w:pPr>
        <w:pStyle w:val="TextBody"/>
        <w:bidi w:val="0"/>
        <w:spacing w:before="120" w:after="0"/>
        <w:jc w:val="left"/>
        <w:rPr>
          <w:rFonts w:ascii="Times New Roman" w:hAnsi="Times New Roman"/>
          <w:sz w:val="20"/>
        </w:rPr>
      </w:pPr>
      <w:r>
        <w:rPr>
          <w:rFonts w:ascii="Times New Roman" w:hAnsi="Times New Roman"/>
          <w:sz w:val="20"/>
        </w:rPr>
        <w:t>For a detailed analysis of research and development policies and costs, see “</w:t>
      </w:r>
      <w:r>
        <w:rPr>
          <w:rFonts w:ascii="Times New Roman" w:hAnsi="Times New Roman"/>
          <w:i/>
          <w:sz w:val="20"/>
        </w:rPr>
        <w:t>Business – Intellectual Property</w:t>
      </w:r>
      <w:r>
        <w:rPr>
          <w:rFonts w:ascii="Times New Roman" w:hAnsi="Times New Roman"/>
          <w:sz w:val="20"/>
        </w:rPr>
        <w:t>” and discussions elsewhere in this “</w:t>
      </w:r>
      <w:r>
        <w:rPr>
          <w:rFonts w:ascii="Times New Roman" w:hAnsi="Times New Roman"/>
          <w:i/>
          <w:sz w:val="20"/>
        </w:rPr>
        <w:t>Management’s Discussion and Analysis of Financial Condition and Results of Operations</w:t>
      </w:r>
      <w:r>
        <w:rPr>
          <w:rFonts w:ascii="Times New Roman" w:hAnsi="Times New Roman"/>
          <w:sz w:val="20"/>
        </w:rPr>
        <w:t xml:space="preserve">” that summarizes macro trends such as research and development investments.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various financial risks, such as credit risk, liquidity risk, and market risk, including changes in foreign currency exchange rates and interest rates. We manage these risks on a Group-wide basis, and we set appropriate controls to monitor risks, ensure compliance, and prevent concentration of risks. See Note 9.2., </w:t>
      </w:r>
      <w:r>
        <w:rPr>
          <w:rFonts w:ascii="Times New Roman" w:hAnsi="Times New Roman"/>
          <w:i/>
          <w:sz w:val="20"/>
        </w:rPr>
        <w:t xml:space="preserve">Financial risk management </w:t>
      </w:r>
      <w:r>
        <w:rPr>
          <w:rFonts w:ascii="Times New Roman" w:hAnsi="Times New Roman"/>
          <w:sz w:val="20"/>
        </w:rPr>
        <w:t xml:space="preserve">to our audited consolidated financial statements included elsewhere in this prospectus for our quantitative and qualitative disclosures about market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Risk </w:t>
      </w:r>
    </w:p>
    <w:p>
      <w:pPr>
        <w:pStyle w:val="TextBody"/>
        <w:bidi w:val="0"/>
        <w:spacing w:before="120" w:after="0"/>
        <w:jc w:val="left"/>
        <w:rPr>
          <w:rFonts w:ascii="Times New Roman" w:hAnsi="Times New Roman"/>
          <w:sz w:val="20"/>
        </w:rPr>
      </w:pPr>
      <w:r>
        <w:rPr>
          <w:rFonts w:ascii="Times New Roman" w:hAnsi="Times New Roman"/>
          <w:sz w:val="20"/>
        </w:rPr>
        <w:t xml:space="preserve">Agreements which potentially subject us to concentration risk consist principally of four customer agreements. For the year ended December 31, 2025, 29% of our revenue was earned from a single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 was earned from a second customer and 19% was earned from a third customer. For the year ended December 31, 2024, 23% of our total revenue was earned from a single customer, 19% was earned from a second customer and 11% was earned from a third customer. For the six months ended June 30, 2026, 43% of our revenue was earned from a single customer and 40% was earned from a second customer. For the six months ended June 30, 2025, no single customer accounted for more than 10% of our total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We do not believe that inflation had a significant impact on our results of operations for any periods presented in our consolidated financial statements. Nonetheless, if our costs were to become subject to significant inflationary pressures, we may not be able to fully offset such higher costs, and our inability or failure to do so could harm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financial statements included in this prospectus have been prepared in accordance with IFRS Accounting Standards. The preparation of these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otherwise could have a material impact on our financial position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critical accounting estimates, assumptions and judgments we believe to have the most significant impact on our audited consolidated financial statements are described below. See Note 1.3 to the audited consolidated financial statements included elsewhere in this prospectus for additional information related to critical accounting estimates and significant accounting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sales of on-premises quantum computer systems, including co-development projects, and corresponding professional services such as training, maintenance and technical support. In addition, we generate revenue from cloud-based usage of IQM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is the amount of consideration to which we expect to be entitled in exchange for transferring goods and services to the customer. Revenue is recorded based on the transaction price, which includes fixed consideration and estimates of variable consideration. Variable consideration, such as penalties for late delivery, is included in the transaction price only to the extent that it is highly probable that no significant reversal of cumulative revenue will occur. We apply the most likely amount method to estimate variable consideration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Revenue from the development, delivery, and installation of customized quantum computer systems is recognized over time using the input method (cost-to-cost), as the systems have no alternative use to us and we have an enforceable right to payment for performance completed to date. Under the cost-to-cost method, revenue is recognized based upon the ratio that incurred costs bear to total estimated contract costs with related cost of revenue recorded as the costs are incurred. Each month management reviews estimated contract costs through a process of aggregating actual costs incurred and estimating additional costs to completion based upon the current available information and status of the contract.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measure our stock-based awards made to employees and service providers based on the estimated fair value of the awards as of the grant date, in accordance with IFRS 2, </w:t>
      </w:r>
      <w:r>
        <w:rPr>
          <w:rFonts w:ascii="Times New Roman" w:hAnsi="Times New Roman"/>
          <w:i/>
          <w:sz w:val="20"/>
        </w:rPr>
        <w:t>Share-based Payment</w:t>
      </w:r>
      <w:r>
        <w:rPr>
          <w:rFonts w:ascii="Times New Roman" w:hAnsi="Times New Roman"/>
          <w:sz w:val="20"/>
        </w:rPr>
        <w:t xml:space="preserve">. Stock-based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expense is recognized over the vesting period and is based on the value of the portion of awards ultimately expected to vest. The expense is adjusted for estimated forfeitures if necessary.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is determined using the Black-Scholes option-pricing model. These valuation models incorporate the specific terms of the awards and are applied consistently across grant programs.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fair value requires the use of assumptions and judgments, including the fair value of our shares (based on the most recent financing rounds), the expected life of the options (linked to vesting and anticipated liquidity events), the expected volatility of comparable companies in the quantum and technology sector, the risk-free interest rate derived from government bonds with similar maturities, and a dividend yield of 0% in line with our 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Embedded Derivatives – Conversion Feature in EIB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Our accounting for embedded derivatives requires significant judgment, particularly in assessing whether such features should be separated from the host contract and in determining their fair value. These judgments materially affect the classification and measurement of financial instruments and the timing of recognition of gains and losses. On February 9, 2022, we entered into a convertible loan agreement with the European Investment Bank (“EIB”) consisting of two tranches of 25.0 million and 10.0 million. The loan bears a fixed interest rate of 5.0% per annum and matures six years after disbursement. The agreement includes a conversion option.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conversion feature is determined in accordance with IFRS 13 Fair Value Measurement using an exit price notion from the perspective of a market participant. In estimating fair value, we apply significant judgment and utilize a Monte Carlo simulation model to capture the complex payoff structure and path-dependent features of the conversion option. The model incorporates key assumptions such as expected share price development, volatility, risk-free interest rates, and credit risk, reflecting the assumptions that market participants would use when pricing the instrument. </w:t>
      </w:r>
    </w:p>
    <w:p>
      <w:pPr>
        <w:pStyle w:val="TextBody"/>
        <w:bidi w:val="0"/>
        <w:spacing w:before="240" w:after="0"/>
        <w:jc w:val="left"/>
        <w:rPr>
          <w:rFonts w:ascii="Times New Roman" w:hAnsi="Times New Roman"/>
          <w:sz w:val="20"/>
        </w:rPr>
      </w:pPr>
      <w:r>
        <w:rPr>
          <w:rFonts w:ascii="Times New Roman" w:hAnsi="Times New Roman"/>
          <w:sz w:val="20"/>
        </w:rPr>
        <w:t xml:space="preserve">The embedded derivative is recognized at fair value of 7.1 million as of December 2024. Since the loan was fully repaid the derivative financial liability was derecognized as of December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Embedded Derivatives – Conversion Feature in Aalto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measurement of the embedded conversion feature requires the use of significant estimates and judgment. In particular, management is required to estimate the fair value of our underlying equity, which is not directly observable in the market. The embedded conversion feature is measured at its intrinsic value, calculated as the excess of the estimated pre-share split share price over the fixed conversion price of 289.84 per share under the loan agreement; no time value is attributed to the conversion feature and no option-pricing model inputs, such as expected volatility, are applied. As of December 31, 2025, a share price of €474.86 and an expected volatility of 102.56% were applied in the valuation and the embedded derivative recognized with a carrying amount of €6.1 million. As of June 30, 2026, a pre-share split share price of 846.45 was applied in the valuation, and the embedded derivative was recognized with a carrying amount of 15.1 million.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lender exercised the conversion option. The total carrying amount was reclassified directly in capital 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 Kreos Capital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warrants issued in connection with the Kreos financing arrangement are classified as derivative financial liabilities and have been measured at fair value using the Black-Scholes option pricing model with the exception of the exercise of the warrants where the intrinsic value was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6, 2026, the Kreos warrant holder elected to exercise the warrants. As the exercise occurred shortly after the reporting date and provided additional evidence regarding conditions existing as at June 30, 2026, it was considered an adjusting event after the reporting period. Accordingly, the fair value measurement of the warrant liability as at June 30, 2026 was updated to reflect the final exercise value determined on July 6, 2026, rather than an estimated value derived from a valuation model.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Policies as a Result of the Pending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closed in July 2026, immediately after the reporting date. The following section describes the expected future accounting implications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will be accounted for as a capital reorganization in accordance with IFRS. Under this method of accounting, RAAQ will be treated as the “acquired” company and IQM will be treated as the accounting acquirer for financial statement reporting purposes. Accordingly, the Business Combination will be treated as the equivalent of IQM issuing shares for the net assets of RAAQ, accompanied by a recapitalization. The net assets of RAAQ will be stated at historical cost, with no goodwill or other intangible assets recorded. Operations prior to and following the Business Combination will be those of IQM. </w:t>
      </w:r>
    </w:p>
    <w:p>
      <w:pPr>
        <w:pStyle w:val="TextBody"/>
        <w:bidi w:val="0"/>
        <w:spacing w:before="240" w:after="0"/>
        <w:jc w:val="left"/>
        <w:rPr>
          <w:rFonts w:ascii="Times New Roman" w:hAnsi="Times New Roman"/>
          <w:sz w:val="20"/>
        </w:rPr>
      </w:pPr>
      <w:r>
        <w:rPr>
          <w:rFonts w:ascii="Times New Roman" w:hAnsi="Times New Roman"/>
          <w:sz w:val="20"/>
        </w:rPr>
        <w:t xml:space="preserve">IQM has been determined to be the accounting acquirer based on evaluation of the following facts and circumstances with regard to the combined entity immediately after the Closing, applicable to both the “no redemption” and “contractual maximum redemption” scenarios: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all redemption scenarios, legacy IQM shareholders will have a majority of the voting interest in the combined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upon the Closing, the Board of the combined entity will consist of a majority of directors whom will be designees of IQM.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of IQM will become the initial executive officers of the combined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Closing, the combined entity’s business will be the continued business of IQM, focusing on its core operations as a developer of superconducting quantum computers. IQM contributes the operating assets, employees, intellectual property, and commercial activities of the combined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has been determined that RAAQ does not meet the definition of a “business” pursuant to IFRS 3 Business Combinations, hence the transaction is accounted for within the scope of IFRS 2 (“Share-based payment”). In accordance with IFRS 2, the difference in the fair value of IQM’s equity instruments deemed issued to RAAQ shareholders, over the fair value of identifiable net assets of RAAQ represents a service for listing and is accounted for as a share-based payment which is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and Adopted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recent accounting pronouncements is included in Note 15, </w:t>
      </w:r>
      <w:r>
        <w:rPr>
          <w:rFonts w:ascii="Times New Roman" w:hAnsi="Times New Roman"/>
          <w:i/>
          <w:sz w:val="20"/>
        </w:rPr>
        <w:t xml:space="preserve">New standards and amendments </w:t>
      </w:r>
      <w:r>
        <w:rPr>
          <w:rFonts w:ascii="Times New Roman" w:hAnsi="Times New Roman"/>
          <w:sz w:val="20"/>
        </w:rPr>
        <w:t xml:space="preserve">to our audited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and for so long as we are an emerging growth company, we may take advantage of certain reduced disclosure and other requirements that are otherwise applicable generally to public companies that are not public companies, including not being required to comply with the auditor attestation requirements of Section 404 of the Sarbanes-Oxley Act of 2002 and, to the extent we no longer qualify as a foreign private issuer pursuant to which standards we are not required to provide detailed compensation disclosures or file proxy statements, reduced disclosure obligations regarding executive compensation in our periodic reports and proxy statements, and exemptions from the requirements of holding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nonbinding advisory vote on executive compensation and shareholder approval of any golden parachute payments not previously approved. We would cease to be an emerging growth company on the date that is the earliest of (i) the last day of the fiscal year following the fifth anniversary of the date of the completion of this offering; (ii) the last day of the fiscal year in which we have total annual gross revenue of $1.235 billion or more; (iii) the date on which we have, in any three year period, issued more than $1.0 billion in nonconvertible debt securities; or (iv) the date on which we first qualify as a large accelerated filer under the rules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6013_17"/>
      <w:bookmarkEnd w:id="19"/>
      <w:r>
        <w:rPr>
          <w:rFonts w:ascii="Times New Roman" w:hAnsi="Times New Roman"/>
          <w:b/>
          <w:sz w:val="20"/>
        </w:rPr>
        <w:t xml:space="preserve">MANAGEMENT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or “our” refer to IQM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our executive officers and non-executive directors as of August 3,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7"/>
        <w:gridCol w:w="122"/>
        <w:gridCol w:w="356"/>
        <w:gridCol w:w="221"/>
        <w:gridCol w:w="5649"/>
      </w:tblGrid>
      <w:tr>
        <w:trPr/>
        <w:tc>
          <w:tcPr>
            <w:tcW w:w="385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5649" w:type="dxa"/>
            <w:tcBorders/>
            <w:vAlign w:val="center"/>
          </w:tcPr>
          <w:p>
            <w:pPr>
              <w:pStyle w:val="TableContents"/>
              <w:bidi w:val="0"/>
              <w:spacing w:before="0" w:after="283"/>
              <w:jc w:val="left"/>
              <w:rPr>
                <w:sz w:val="4"/>
                <w:szCs w:val="4"/>
              </w:rPr>
            </w:pPr>
            <w:r>
              <w:rPr>
                <w:sz w:val="4"/>
                <w:szCs w:val="4"/>
              </w:rPr>
            </w:r>
          </w:p>
        </w:tc>
      </w:tr>
      <w:tr>
        <w:trPr/>
        <w:tc>
          <w:tcPr>
            <w:tcW w:w="38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2" w:type="dxa"/>
            <w:tcBorders/>
            <w:vAlign w:val="bottom"/>
          </w:tcPr>
          <w:p>
            <w:pPr>
              <w:pStyle w:val="TableContents"/>
              <w:bidi w:val="0"/>
              <w:spacing w:before="0" w:after="283"/>
              <w:jc w:val="left"/>
              <w:rPr/>
            </w:pPr>
            <w:r>
              <w:rPr/>
              <w:t>  </w:t>
            </w:r>
          </w:p>
        </w:tc>
        <w:tc>
          <w:tcPr>
            <w:tcW w:w="3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21" w:type="dxa"/>
            <w:tcBorders/>
            <w:vAlign w:val="bottom"/>
          </w:tcPr>
          <w:p>
            <w:pPr>
              <w:pStyle w:val="TableContents"/>
              <w:bidi w:val="0"/>
              <w:spacing w:before="0" w:after="283"/>
              <w:jc w:val="left"/>
              <w:rPr/>
            </w:pPr>
            <w:r>
              <w:rPr/>
              <w:t>  </w:t>
            </w:r>
          </w:p>
        </w:tc>
        <w:tc>
          <w:tcPr>
            <w:tcW w:w="56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85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vAlign w:val="bottom"/>
          </w:tcPr>
          <w:p>
            <w:pPr>
              <w:pStyle w:val="TableContents"/>
              <w:bidi w:val="0"/>
              <w:spacing w:before="0" w:after="283"/>
              <w:jc w:val="left"/>
              <w:rPr>
                <w:sz w:val="4"/>
                <w:szCs w:val="4"/>
              </w:rPr>
            </w:pPr>
            <w:r>
              <w:rPr>
                <w:sz w:val="4"/>
                <w:szCs w:val="4"/>
              </w:rPr>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Jan Goetz(1) </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40</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Søren Hein</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58</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Operating Officer, Deputy Chief Executive Officer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Jan Kürschner</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10205" w:type="dxa"/>
            <w:gridSpan w:val="5"/>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Non-Executive Directors</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Sierk Poetting</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 Board Chair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Doll</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56</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Hannu Martola</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62</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Juho Sarvikas(1) </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44</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 Tuder(1) </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Barbara Venneman(1) </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61</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to serve as a director in connection with the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current business address for our executive officers and non-executive directors is Keilaranta 19, FI-02150 Espoo, Finland.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 xml:space="preserve">Jan Goetz </w:t>
      </w:r>
      <w:r>
        <w:rPr>
          <w:rFonts w:ascii="Times New Roman" w:hAnsi="Times New Roman"/>
          <w:sz w:val="20"/>
        </w:rPr>
        <w:t xml:space="preserve">co-founded IQM and has served as our Chief Executive Officer since February 2019 and as a member of our board of directors since July 2026. Dr. Goetz also served on our board of directors from September 2024 to June 2025. From November 2021 to May 2023, Dr. Goetz served on the Board of the European Innovation Council (“EIC”), where he now serves as an EIC Ambassador, and he has also served on the Board of the European Quantum Industry Consortium since June 2021. Dr. Goetz is also a member of the German Federal Economic Senate, an EIC Scaling Club Council member, a member of the Hall of Future, and a Digital Leader and Global Innovator at the World Economic Forum. Dr. Goetz completed his doctorate on superconducting quantum circuits at the Technical University of Munich and subsequently worked as a Marie Curie Fellow at Aalto University in Helsinki, where he holds the title of Docent. We believe Dr. Goetz is well qualified to serve on the IQM Board because of his deep expertise in quantum computing and his extensive knowledge of our business, operations and strategy. </w:t>
      </w:r>
    </w:p>
    <w:p>
      <w:pPr>
        <w:pStyle w:val="TextBody"/>
        <w:bidi w:val="0"/>
        <w:spacing w:before="240" w:after="0"/>
        <w:jc w:val="left"/>
        <w:rPr>
          <w:rFonts w:ascii="Times New Roman" w:hAnsi="Times New Roman"/>
          <w:sz w:val="20"/>
        </w:rPr>
      </w:pPr>
      <w:r>
        <w:rPr>
          <w:rFonts w:ascii="Times New Roman" w:hAnsi="Times New Roman"/>
          <w:b/>
          <w:sz w:val="20"/>
        </w:rPr>
        <w:t xml:space="preserve">Søren Hein </w:t>
      </w:r>
      <w:r>
        <w:rPr>
          <w:rFonts w:ascii="Times New Roman" w:hAnsi="Times New Roman"/>
          <w:sz w:val="20"/>
        </w:rPr>
        <w:t xml:space="preserve">has served as our Deputy Chief Executive Officer and Chief Operating Officer since January 2026. Mr. Hein also served as Vice Chair of our board of directors from April 2025 to January 2026. Prior to joining IQM, Dr. Hein served as a Partner at MIG Capital from 2016 to 2025, where he led the firm’s deep tech investment efforts, including leading IQM’s seed round in 2019, and where he currently serves as a Venture Partner. Before joining MIG Capital, Dr. Hein co-founded Compound Disk Drives, a startup that developed a novel electric motor for hybrid vehicles. Prior to co-founding Compound Disk Drives, Dr. Hein was a Partner at Doughty Hanson Technology Ventures for ten years. Earlier in his career, Dr. Hein served as Chief Technology Officer of the Wireless Systems business unit at Infineon. Dr. Hein holds a Ph.D. in Electrical Engineering and Computer Science from UC Berkeley and an MBA from INSEAD.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Jan Kürschner </w:t>
      </w:r>
      <w:r>
        <w:rPr>
          <w:rFonts w:ascii="Times New Roman" w:hAnsi="Times New Roman"/>
          <w:sz w:val="20"/>
        </w:rPr>
        <w:t xml:space="preserve">has served as our Chief Financial Officer since April 2025. Prior to joining IQM, Mr. Kürschner held various roles at BioNTech SE, where he served as Senior Vice President Financial BioNTainer &amp; International Integration from January 2023 to May 2024, Senior Vice President Global Financial Operations from January 2022 to December 2022, and Vice President Global Finance Operations from March 2017 to December 2021. Before that, Mr. Kürschner served as Director of Finance for JenaValve Technology and as Director of Finance Europe at Canadian Solar EMEA GmbH. Mr. Kürschner has also worked as a freelance finance consultant. Mr. Kürschner began his career in auditing roles at Ernst &amp; Young and Arthur Andersen. Mr. Kürschner holds a Diplom-Kaufmann degree in Business Administration from Humboldt-Universität zu Berlin.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Non-Executive Directors </w:t>
      </w:r>
    </w:p>
    <w:p>
      <w:pPr>
        <w:pStyle w:val="TextBody"/>
        <w:bidi w:val="0"/>
        <w:spacing w:before="120" w:after="0"/>
        <w:jc w:val="left"/>
        <w:rPr>
          <w:rFonts w:ascii="Times New Roman" w:hAnsi="Times New Roman"/>
          <w:sz w:val="20"/>
        </w:rPr>
      </w:pPr>
      <w:r>
        <w:rPr>
          <w:rFonts w:ascii="Times New Roman" w:hAnsi="Times New Roman"/>
          <w:b/>
          <w:sz w:val="20"/>
        </w:rPr>
        <w:t xml:space="preserve">Sierk Poetting </w:t>
      </w:r>
      <w:r>
        <w:rPr>
          <w:rFonts w:ascii="Times New Roman" w:hAnsi="Times New Roman"/>
          <w:sz w:val="20"/>
        </w:rPr>
        <w:t xml:space="preserve">has served as the chair of our board of directors since January 2022. Dr. Poetting has served as Chief Operating Officer of BioNTech since July 2021, before which he served as Chief Financial Officer starting in September 2014. Prior to joining BioNTech, Dr. Poetting served as Vice President and Chief Financial Officer of the Sandoz Division in North America at Novartis from 2012 to 2014, having held various other roles at Novartis from 2006 to 2012. Earlier in his career, Dr. Poetting was a consultant at McKinsey &amp; Company. Dr. Poetting holds a Master of Science in Optical Sciences from the University of Arizona and a Ph.D. in Physics from Ludwig-Maximilians University in Munich. </w:t>
      </w:r>
    </w:p>
    <w:p>
      <w:pPr>
        <w:pStyle w:val="TextBody"/>
        <w:bidi w:val="0"/>
        <w:spacing w:before="240" w:after="0"/>
        <w:jc w:val="left"/>
        <w:rPr>
          <w:rFonts w:ascii="Times New Roman" w:hAnsi="Times New Roman"/>
          <w:sz w:val="20"/>
        </w:rPr>
      </w:pPr>
      <w:r>
        <w:rPr>
          <w:rFonts w:ascii="Times New Roman" w:hAnsi="Times New Roman"/>
          <w:b/>
          <w:sz w:val="20"/>
        </w:rPr>
        <w:t xml:space="preserve">Alex Doll </w:t>
      </w:r>
      <w:r>
        <w:rPr>
          <w:rFonts w:ascii="Times New Roman" w:hAnsi="Times New Roman"/>
          <w:sz w:val="20"/>
        </w:rPr>
        <w:t xml:space="preserve">has served on our board of directors since March 2025. Mr. Doll is a Founder at Ten Eleven Ventures, where he has served as a Managing Member since 2015. In 2002, Mr. Doll co-founded PGP Corporation, where he served as a founding board member and Chief Financial Officer/Vice President of Business Development. Mr. Doll later served as Chief Operating Officer of PGP Corporation until its acquisition by Symantec in 2010. Following the acquisition, Mr. Doll continued his involvement in the cybersecurity sector as an angel investor, independent director, entrepreneur-in-residence at Khosla Ventures, and security deal team consultant to private equity firm KKR. Earlier in his career, Mr. Doll worked at Embark (The Princeton Review), PeopleSoft, and OneID, and was an investment banker at Robertson Stephens. Mr. Doll received an MBA from Stanford Graduate School of Business and graduated cum laude from the University of Pennsylvania’s Management &amp; Technology program with a B.S. in Systems Engineering from the Moore School and a B.S. in Finance from the Wharton School. </w:t>
      </w:r>
    </w:p>
    <w:p>
      <w:pPr>
        <w:pStyle w:val="TextBody"/>
        <w:bidi w:val="0"/>
        <w:spacing w:before="240" w:after="0"/>
        <w:jc w:val="left"/>
        <w:rPr>
          <w:rFonts w:ascii="Times New Roman" w:hAnsi="Times New Roman"/>
          <w:sz w:val="20"/>
        </w:rPr>
      </w:pPr>
      <w:r>
        <w:rPr>
          <w:rFonts w:ascii="Times New Roman" w:hAnsi="Times New Roman"/>
          <w:b/>
          <w:sz w:val="20"/>
        </w:rPr>
        <w:t xml:space="preserve">Hannu Martola </w:t>
      </w:r>
      <w:r>
        <w:rPr>
          <w:rFonts w:ascii="Times New Roman" w:hAnsi="Times New Roman"/>
          <w:sz w:val="20"/>
        </w:rPr>
        <w:t xml:space="preserve">has served on our board of directors since October 2024. Mr. Martola has served as President and Chief Executive Officer of Detection Technology Plc since 2007 and previously served as a member of its board of directors from 2007 to 2015. Prior to joining Detection Technology, Mr. Martola served as President and Chief Executive Officer of VTI Technologies Oy from 2001 to 2007, having held various management positions there from 1992 to 2000. Mr. Martola has served as a member of the board of Enics AG since 2018, as Chairman of the board of directors of Powernet International Ltd and Powernet Oy since 2012 and as Chairman of the board of directors of Expedir Oy since 1985, in addition to various other prior directorships. Mr. Martola holds a Master of Science in Engineering and an Executive MBA from Aalto University. </w:t>
      </w:r>
    </w:p>
    <w:p>
      <w:pPr>
        <w:pStyle w:val="TextBody"/>
        <w:bidi w:val="0"/>
        <w:spacing w:before="240" w:after="0"/>
        <w:jc w:val="left"/>
        <w:rPr>
          <w:rFonts w:ascii="Times New Roman" w:hAnsi="Times New Roman"/>
          <w:sz w:val="20"/>
        </w:rPr>
      </w:pPr>
      <w:r>
        <w:rPr>
          <w:rFonts w:ascii="Times New Roman" w:hAnsi="Times New Roman"/>
          <w:b/>
          <w:sz w:val="20"/>
        </w:rPr>
        <w:t xml:space="preserve">Juho Sarvikas </w:t>
      </w:r>
      <w:r>
        <w:rPr>
          <w:rFonts w:ascii="Times New Roman" w:hAnsi="Times New Roman"/>
          <w:sz w:val="20"/>
        </w:rPr>
        <w:t xml:space="preserve">has served on our board of directors since July 2026. Mr. Sarvikas served as the Chief Executive Officer and as a member of the board of Inseego Corp. since January 2025. Prior to joining Inseego Corp., Mr. Sarvikas served as president of North America for Qualcomm Incorporated, a leading global provider of connected computing technologies, from April 2021 to December 2024. Prior to Qualcomm, Mr. Sarvikas served as Chief Product Officer of HMD Global from December 2016 to April 2021, and as President North America from May 2020 to April 2021. Before joining HMD Global, he led Nokia’s feature phone business under Microsoft and held various leadership roles at Nokia for eight years prior to Microsoft’s acquisition of its smartphone business. Mr. Sarvikas holds a Master of Science degree in Industrial Engineering from Lappeenranta University of Technology in Finland. </w:t>
      </w:r>
    </w:p>
    <w:p>
      <w:pPr>
        <w:pStyle w:val="TextBody"/>
        <w:bidi w:val="0"/>
        <w:spacing w:before="240" w:after="0"/>
        <w:jc w:val="left"/>
        <w:rPr>
          <w:rFonts w:ascii="Times New Roman" w:hAnsi="Times New Roman"/>
          <w:sz w:val="20"/>
        </w:rPr>
      </w:pPr>
      <w:r>
        <w:rPr>
          <w:rFonts w:ascii="Times New Roman" w:hAnsi="Times New Roman"/>
          <w:b/>
          <w:sz w:val="20"/>
        </w:rPr>
        <w:t xml:space="preserve">Jeff Tuder </w:t>
      </w:r>
      <w:r>
        <w:rPr>
          <w:rFonts w:ascii="Times New Roman" w:hAnsi="Times New Roman"/>
          <w:sz w:val="20"/>
        </w:rPr>
        <w:t xml:space="preserve">has served on our board of directors since July 2026. Mr. Tuder has served as Chief Financial Officer of Space Asset Acquisition Corp. since September 2025. Mr. Tuder is currently a Co-Chairman and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Officer of each of Digital Asset Acquisition Corp. (Nasdaq: DAAQ) and Real Asset Acquisition Corp. (Nasdaq: RAAQ), positions he has each held since December 2024. Mr. Tuder founded Tremson Capital Management, LLC in January 2015 to invest in undervalued public equities and to make private equity and credit investments in partnership with a number of family offices. In addition, Mr. Tuder was the Chief Executive Officer of each of Concord Acquisition Corp, Concord Acquisition Corp II and Concord Acquisition Corp III from 2021 to 2022, 2022 to present, and 2022 to 2024, respectively. Mr. Tuder has also served on the board of directors of SeaChange International, Inc. from March 2019 to May 2021. In addition, Mr. Tuder has served on the board of directors of Inseego Corporation (NYSE: INSG), since April 2017, where he is Chairman of the board, audit and compensation Committees. </w:t>
      </w:r>
    </w:p>
    <w:p>
      <w:pPr>
        <w:pStyle w:val="TextBody"/>
        <w:bidi w:val="0"/>
        <w:spacing w:before="240" w:after="0"/>
        <w:jc w:val="left"/>
        <w:rPr>
          <w:rFonts w:ascii="Times New Roman" w:hAnsi="Times New Roman"/>
          <w:sz w:val="20"/>
        </w:rPr>
      </w:pPr>
      <w:r>
        <w:rPr>
          <w:rFonts w:ascii="Times New Roman" w:hAnsi="Times New Roman"/>
          <w:sz w:val="20"/>
        </w:rPr>
        <w:t xml:space="preserve">Mr. Tuder has also served on the board of directors of GCT Semiconductor (NYSE: GCTS) since March 2023 where he serves on the compensation committee. Mr. Tuder held various investment positions at JHL Capital Group, KSA Capital Management, and CapitalSource Finance. Mr. Tuder began his career as a private equity professional at Fortress Investment Group, Nassau Capital, and ABS Capital Partners. Mr. Tuder is currently an Operating Partner at Atlas Merchant Capital, LLC. Mr. Tuder received a B.A. in English Literature from Yale College. </w:t>
      </w:r>
    </w:p>
    <w:p>
      <w:pPr>
        <w:pStyle w:val="TextBody"/>
        <w:bidi w:val="0"/>
        <w:spacing w:before="240" w:after="0"/>
        <w:jc w:val="left"/>
        <w:rPr>
          <w:rFonts w:ascii="Times New Roman" w:hAnsi="Times New Roman"/>
          <w:sz w:val="20"/>
        </w:rPr>
      </w:pPr>
      <w:r>
        <w:rPr>
          <w:rFonts w:ascii="Times New Roman" w:hAnsi="Times New Roman"/>
          <w:b/>
          <w:sz w:val="20"/>
        </w:rPr>
        <w:t xml:space="preserve">Barbara Venneman </w:t>
      </w:r>
      <w:r>
        <w:rPr>
          <w:rFonts w:ascii="Times New Roman" w:hAnsi="Times New Roman"/>
          <w:sz w:val="20"/>
        </w:rPr>
        <w:t xml:space="preserve">has served on our board of directors since July 2026. Ms. Venneman has served as a member of the board of advisors of Decagon.AI, an enterprise AI software company, since February 2026, and as a member of the audit &amp; risk committee and nomination committee of the board of directors of The Vanguard Group, Inc. since February 2025. Ms. Venneman previously served on the nomination &amp; governance committee of the board of directors of Reality Changers, a nonprofit organization dedicated to helping first-generation students succeed in higher education, from June 2024 to December 2025. Ms. Venneman was the Global Head of Deloitte Digital from May 2023 until her retirement in September 2024, the Global Chief Growth Officer from April 2021 to April 2023, and the Global Marketing, Sales &amp; Service Leader from January 2011 to May 2021. Ms. Venneman has more than 30 years of digital transformation experience, helping businesses evolve and grow through strategy, creativity, and leading-edge technology solutions. Ms. Venneman holds a Master of Business Administration degree from McGill University and a Bachelor of Science degree in Computer Science from the Université de Montréal.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executive officers or non-executive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Private Issuer Exemption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by the SEC. As a result, in accordance with the Nasdaq rules, we are permitted to comply with Finnish governance requirements in lieu of the corporate governance requirements of the Nasdaq. Among other things, we intend to take advantage of the following exemptions from the corporate governance requirements of the Nasdaq: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quorum requirements for shareholder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Nasdaq rules applicable to domestic issuers requiring disclosure within four business days of any determination to grant a waiver of the code of business conduct and ethics to directors and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obtain shareholder approval for certain issuances of securities, including shareholder approval of share option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otherwise intend to comply with the rules generally applicable to U.S. domestic companies listed on the Nasdaq. We may, however, in the future decide to opt out of some or all of the other permitted Nasdaq corporate governance rules. We intend to take all actions necessary for us to maintain compliance as a foreign private issuer under the applicable corporate governance requirements of the Sarbanes-Oxley Act, the rules adopted by the SEC and the Nasdaq corporate governance rules and listing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Composition and Independence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consists of seven members.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none of its members, other than Jan Goetz, has any relationships that would interfere with the exercise of independent judgment in carrying out the responsibilities of a director and that each of these directors is “independent” as that term is defined under the rules of the Nasdaq. In making these determinations, our board of directors considered the current and prior relationships that each director has with our company and all other facts and circumstances our board of directors deemed relevant in determining their independence.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Amended IQM Articles, the term of office of our directors expires at the closing of the annual general meeting following their election.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we established three standing committees of our board of directors: an audit committee, a nomination committee and a remuneration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shall consist of at least three members. Each member of the audit committee must be independent of the Company, and at least one member must be independent of our significant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Jeff Tuder, Sierk Poetting and Alex Doll. Mr. Tuder serves as the chairperson of the audit committee. All members of our audit committee meet the requirements for financial literacy under the applicable rules and regulations of the SEC and the Finnish Corporate Governance Code issued by the Finnish Securities Market Association, and our board of directors has determined that each of Mr. Tuder, Dr. Poetting, and Mr. Doll is an “audit committee financial expert” as defined by applicable SEC rules. Our board of directors has further determined that each member of our audit committee is “independent” as such term is defined in Rule 10A-3(b)(1)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assessing the efficiency of the Company’s internal control, any internal audits, and risk management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evaluating the auditor’s independence, particularly the provision of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statutory audit of the annual accounts and the consolidated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financial statement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supervising the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Company’s related party transactions in accordance with reporting practices;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proposal for the election of the auditor.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convenes at least three times a year prior to the publication of the financial results and more often as necessary, in accordance with a mutually agreed meeting schedule that should be consistent with the Company’s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Remuneration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shall consist of at least three members. The majority of the members of the committee shall be independent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remuneration committee consists of Hannu Martola, Sierk Poetting and Juho Sarvikas. Mr. Martola serves as the chairperson of the remuneration committee. Under the SEC and Nasdaq rules, there are heightened independence standards for members of the remuneration committee, including a prohibition against the receipt of any compensation from us other than standard board member fees. Although foreign private issuers are not required to meet this heightened standard with respect to all members, as of the date of this prospectus, we have determined that each of Mr. Martola, Dr. Poetting and Mr. Sarvikas meet this heightened standard. </w:t>
      </w:r>
    </w:p>
    <w:p>
      <w:pPr>
        <w:pStyle w:val="TextBody"/>
        <w:bidi w:val="0"/>
        <w:spacing w:before="240" w:after="0"/>
        <w:jc w:val="left"/>
        <w:rPr>
          <w:rFonts w:ascii="Times New Roman" w:hAnsi="Times New Roman"/>
          <w:sz w:val="20"/>
        </w:rPr>
      </w:pPr>
      <w:r>
        <w:rPr>
          <w:rFonts w:ascii="Times New Roman" w:hAnsi="Times New Roman"/>
          <w:sz w:val="20"/>
        </w:rPr>
        <w:t xml:space="preserve">The remuneration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and presenting to the board of directors a compensation philosophy that aligns with the Company’s overall strategy, financial performance, and long-term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governing bodies’ remuneration policy and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presenting the governing bodies’ remuneration policy and report to the general meeting and answering questions about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executive performance in relation to pre-established goals and metrics, and preparing and reviewing the remuneration of the CEO and other members of the leadership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planning the remuneration of other staff and organizational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company-wide long-term incentives including equity plans, and preparing matters related to the Company’s incentive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answering questions regarding the report concerning salaries and remuneration at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employment agreements, severance arrangements, retirement benefits, and other contractual obligations for executives and key personnel, and ensuring compliance with all applicable employment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staying informed of relevant regulatory, market, and governance trends related to executive compensation, and ensuring all compensation policies and practices adhere to applicable laws, regulations, and corporate governance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tasks mentioned above, the remuneration committee may have other tasks that are appropriate to fulfil the role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remuneration committee, in consultation with the members of the committee, shall determine the schedule and frequency of the meetings of the committee provided that the committee shall meet at least three times a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nomination committee shall consist of at least three members. The majority of the members of the committee shall be independent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nomination committee consists of Sierk Poetting, Alex Doll and Hannu Martola. Sierk Poetting serves as the chairperson of the nomination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nomination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and presenting the proposal to the general meeting on the appointment of the directors to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proposal to the general meeting on matters pertaining to the remuneration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care of the diversity and succession planning of the members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appointment of the CEO, Chief Financial Officer and Chief Operating Officer and succession planning;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developing the Company’s organization and personnel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tasks mentioned above, the nomination committee may have other tasks that are appropriate to fulfil the role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nomination committee, in consultation with the members of the committee, shall determine the schedule and frequency of the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Non-Executive Directors and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of Non-Executive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Finnish Companies Act, the remuneration payable to the members of our board of directors is determined at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At our annual general meeting of shareholders held on May 5, 2025, our shareholders resolved that no remuneration will be paid to the members of our board of directors for the year ended December 31, 2025. As of December 31, 2025, we had no amounts set aside or accrued to provide pension, retirement or similar benefits to our directors. </w:t>
      </w:r>
    </w:p>
    <w:p>
      <w:pPr>
        <w:pStyle w:val="TextBody"/>
        <w:bidi w:val="0"/>
        <w:spacing w:before="240" w:after="0"/>
        <w:jc w:val="left"/>
        <w:rPr>
          <w:rFonts w:ascii="Times New Roman" w:hAnsi="Times New Roman"/>
          <w:sz w:val="20"/>
        </w:rPr>
      </w:pPr>
      <w:r>
        <w:rPr>
          <w:rFonts w:ascii="Times New Roman" w:hAnsi="Times New Roman"/>
          <w:sz w:val="20"/>
        </w:rPr>
        <w:t xml:space="preserve">At our annual general meeting of shareholders held in June 2026, the Shareholders’ Nomination Committee of our board of directors proposed for shareholder approval that, conditional on the completion of the Business Combination, Sierk Poetting, Hannu Martola and Barbara Venneman receive a grant of series A treasury shares with a value of 180,000, 100,000, and 100,000, respectively, within five business days of the Closing. Dr. Poetting, Mr. Martola, and Ms. Venneman are required to retain the respective shares for a period of 12 months following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compensation, including benefits in kind, accrued or paid to our executive officers with respect to the year December 31, 2025, for services in all capacities was 1,896,000. The pension benefits of the Executive Officers are determined in accordance with law and customary practice.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Awards Issued to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For information regarding the share ownership of our directors and our executive officers, see “</w:t>
      </w:r>
      <w:r>
        <w:rPr>
          <w:rFonts w:ascii="Times New Roman" w:hAnsi="Times New Roman"/>
          <w:i/>
          <w:sz w:val="20"/>
        </w:rPr>
        <w:t>Beneficial Ownership of Securities.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Equity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Employee Stock Option Plan I </w:t>
      </w:r>
    </w:p>
    <w:p>
      <w:pPr>
        <w:pStyle w:val="TextBody"/>
        <w:bidi w:val="0"/>
        <w:spacing w:before="120" w:after="0"/>
        <w:jc w:val="left"/>
        <w:rPr>
          <w:rFonts w:ascii="Times New Roman" w:hAnsi="Times New Roman"/>
          <w:sz w:val="20"/>
        </w:rPr>
      </w:pPr>
      <w:r>
        <w:rPr>
          <w:rFonts w:ascii="Times New Roman" w:hAnsi="Times New Roman"/>
          <w:sz w:val="20"/>
        </w:rPr>
        <w:t xml:space="preserve">Our first Employee Stock Option Plan (“ESOP I”) is a program under which participants were granted stock options to acquire class A shares in our company, and was approved by our board of directors on November 19, 2019 based on the authorization from shareholders at our general meeting held on June 4, 2019. As at the date of this prospectus, no ESOP I option rights remain outstanding. Eligible participants in ESOP I include our directors, advisors and employees. Options under ESOP I were granted from November 2019 to August 2020. ESOP I is closed for allocation, and no further options may be issued under this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options under ESOP I were granted for no consideration, though grantees must pay the exercise price of such options to acquire their underlying class A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option right immediately before the effective time of the Share Split by (2) the Share Split Factor (rounded up to the nearest whole cent). The exercise price per pre-share split share of option rights in ESOP I was 38.65. The number of options is subject to customary adjustment for any share split or combination affecting the IQM Shares. </w:t>
      </w:r>
    </w:p>
    <w:p>
      <w:pPr>
        <w:pStyle w:val="TextBody"/>
        <w:bidi w:val="0"/>
        <w:spacing w:before="240" w:after="0"/>
        <w:jc w:val="left"/>
        <w:rPr>
          <w:rFonts w:ascii="Times New Roman" w:hAnsi="Times New Roman"/>
          <w:sz w:val="20"/>
        </w:rPr>
      </w:pPr>
      <w:r>
        <w:rPr>
          <w:rFonts w:ascii="Times New Roman" w:hAnsi="Times New Roman"/>
          <w:sz w:val="20"/>
        </w:rPr>
        <w:t xml:space="preserve">Under ESOP I, the majority of options were transferred to the terms of ESOP III (as described below), except for the exercise price of such options. The exchange period for all options under ESOP I, which were not transferred to the terms of ESOP III, was accelerated to begin immediately at the completion of the Business Combination and to end 14 days thereafter. The exercise period ended on July 15,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II </w:t>
      </w:r>
    </w:p>
    <w:p>
      <w:pPr>
        <w:pStyle w:val="TextBody"/>
        <w:bidi w:val="0"/>
        <w:spacing w:before="120" w:after="0"/>
        <w:jc w:val="left"/>
        <w:rPr>
          <w:rFonts w:ascii="Times New Roman" w:hAnsi="Times New Roman"/>
          <w:sz w:val="20"/>
        </w:rPr>
      </w:pPr>
      <w:r>
        <w:rPr>
          <w:rFonts w:ascii="Times New Roman" w:hAnsi="Times New Roman"/>
          <w:sz w:val="20"/>
        </w:rPr>
        <w:t xml:space="preserve">Our second Employee Stock Option Plan (“ESOP II”) is a program under which participants were granted stock options to subscribe for class A shares in our company, and was approved by our board of directors on March 24, 2021 based on the authorization from our shareholders at our general meeting held on October 28, 2020. As of December 31, 2025, options to purchase up to an aggregate of 45,539 class A shares were outstanding. Eligible participants in ESOP II include our directors, advisors and employees. Options under ESOP II were granted from November 2020 to June 2022. ESOP II is closed for allocation, and no further options may be issued under this program. </w:t>
      </w:r>
    </w:p>
    <w:p>
      <w:pPr>
        <w:pStyle w:val="TextBody"/>
        <w:bidi w:val="0"/>
        <w:spacing w:before="240" w:after="0"/>
        <w:jc w:val="left"/>
        <w:rPr>
          <w:rFonts w:ascii="Times New Roman" w:hAnsi="Times New Roman"/>
          <w:sz w:val="20"/>
        </w:rPr>
      </w:pPr>
      <w:r>
        <w:rPr>
          <w:rFonts w:ascii="Times New Roman" w:hAnsi="Times New Roman"/>
          <w:sz w:val="20"/>
        </w:rPr>
        <w:t xml:space="preserve">The options under ESOP II were granted for no consideration, though grantees must pay the exercise price of such options to acquire their underlying class A shares. The options generally will vest over a four-year period, with 25% vesting on the date of the first anniversary of the grant date, with the remainder vesting in monthly instalments thereafter. The exercise price of the options was set at 289.84 per class A share. </w:t>
      </w:r>
    </w:p>
    <w:p>
      <w:pPr>
        <w:pStyle w:val="TextBody"/>
        <w:bidi w:val="0"/>
        <w:spacing w:before="240" w:after="0"/>
        <w:jc w:val="left"/>
        <w:rPr>
          <w:rFonts w:ascii="Times New Roman" w:hAnsi="Times New Roman"/>
          <w:sz w:val="20"/>
        </w:rPr>
      </w:pPr>
      <w:r>
        <w:rPr>
          <w:rFonts w:ascii="Times New Roman" w:hAnsi="Times New Roman"/>
          <w:sz w:val="20"/>
        </w:rPr>
        <w:t xml:space="preserve">Under ESOP II, the majority of options were transferred to the terms of ESOP III (as described below), except for the exercise price of such options.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conditions of ESOP II, we were required to redeem all option rights in the event of a listing transaction, such as the Business Combination, for a price corresponding to the valuation of the shares in such listing transaction less the original strike price of the option right. </w:t>
      </w:r>
    </w:p>
    <w:p>
      <w:pPr>
        <w:pStyle w:val="TextBody"/>
        <w:bidi w:val="0"/>
        <w:spacing w:before="240" w:after="0"/>
        <w:jc w:val="left"/>
        <w:rPr>
          <w:rFonts w:ascii="Times New Roman" w:hAnsi="Times New Roman"/>
          <w:sz w:val="20"/>
        </w:rPr>
      </w:pPr>
      <w:r>
        <w:rPr>
          <w:rFonts w:ascii="Times New Roman" w:hAnsi="Times New Roman"/>
          <w:sz w:val="20"/>
        </w:rPr>
        <w:t xml:space="preserve">All 1,716 options under ESOP II, which were not transferred to the terms of ESOP III, were redeemed by us in connection with the Closing for a price, which corresponded to the valuation of the IQM Share used in the Business Combination prior to the IQM Capital Restructuring less the original strike price of the option right. After the redemption, no options to subscribe for IQM Shares remain subject to the terms of ESOP II.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III </w:t>
      </w:r>
    </w:p>
    <w:p>
      <w:pPr>
        <w:pStyle w:val="TextBody"/>
        <w:bidi w:val="0"/>
        <w:spacing w:before="120" w:after="0"/>
        <w:jc w:val="left"/>
        <w:rPr>
          <w:rFonts w:ascii="Times New Roman" w:hAnsi="Times New Roman"/>
          <w:sz w:val="20"/>
        </w:rPr>
      </w:pPr>
      <w:r>
        <w:rPr>
          <w:rFonts w:ascii="Times New Roman" w:hAnsi="Times New Roman"/>
          <w:sz w:val="20"/>
        </w:rPr>
        <w:t xml:space="preserve">Our third Employee Stock Option Plan (“ESOP III”) is a program under which participants were granted stock options to subscribe for class A shares in our company, and was approved by our board of directors on June 29, 2023 based on the authorization from our shareholders at our general meeting held on July 13, 2022. As at the date of this prospectus, options to subscribe for up to an aggregate of 10,979,196 IQM Shares are outstanding, including certain options originally granted under ESOP I or ESOP II that were transferred to the terms of ESOP III (except as to strike price), as described above. Eligible participants in ESOP III include our executive officers, employees and consultants. Options under ESOP III were granted from March 2023 to March 2025. ESOP III is closed for allocation, and no further options may be issued under this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options under ESOP III were granted for no consideration, though grantees must pay the exercise price of such options to acquire their underlying IQM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option right immediately before the effective time of the Share Split by (2) the Share Split Factor (rounded up to the nearest whole cent). The exercise price per pre-share split share of option rights in ESOP III was 410.94. The options granted under ESOP III expire on July 13, 2036 and are not transferrable and may not be pledged. The number of options is subject to customary adjustment for any share split or combination affecting the IQM Shares. In the event of (i) our shareholders selling, exchanging, or otherwise disposing of more than 50% of the shares and votes of IQM, or IQM merging, reorganizing its operations or otherwise becoming subject to a similar transaction subsequent to which the shareholders will possess less than 50% of the shares and votes of IQM; (ii) IQM selling, exchanging, or exclusively licensing more than 50% of our assets or (iii) our listing on a recognized stock exchange (including via SPAC initial public offering), our board of directors may resolve to accelerate the vesting of any unvested options under ESOP III. Additionally, our board of directors may, in its discretion, allow the exercise of the stock options at a moment and in a way that does not jeopardize the relevant measure (i-iii).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resolved to not accelerate the vesting of any unvested options in connection with the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resolved to impose a restriction on the exercise of all options that have vested and are exercisable prior to the period ending 12 months after the Business Combination (excluding option rights that have been granted on or after June 29, 2023). Under the restriction, the vested options will become exercisable in four (4) equal installments of 25% each. These restrictions also apply to options originally granted under ESOP I or ESOP II that have been transferred to the terms of ESOP III. </w:t>
      </w:r>
    </w:p>
    <w:p>
      <w:pPr>
        <w:pStyle w:val="TextBody"/>
        <w:bidi w:val="0"/>
        <w:spacing w:before="240" w:after="0"/>
        <w:jc w:val="left"/>
        <w:rPr>
          <w:rFonts w:ascii="Times New Roman" w:hAnsi="Times New Roman"/>
          <w:sz w:val="20"/>
        </w:rPr>
      </w:pPr>
      <w:r>
        <w:rPr>
          <w:rFonts w:ascii="Times New Roman" w:hAnsi="Times New Roman"/>
          <w:sz w:val="20"/>
        </w:rPr>
        <w:t xml:space="preserve">The first installment of 25% will become exercisable on the later of: (i) the date that is three (3) months after the completion of the Business Combination; or (ii) the date that is one (1) month after the date on which the resale registration statement has become effective. The subsequent installments will become exercisable on the dates that are six (6), nine (9), and twelve (12) months after completion of the Business Combination,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vested options held by members of our management team will become exercisable in full only after twelve (12) months has elapsed from the Business Combination, without staggered installments.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IV </w:t>
      </w:r>
    </w:p>
    <w:p>
      <w:pPr>
        <w:pStyle w:val="TextBody"/>
        <w:bidi w:val="0"/>
        <w:spacing w:before="120" w:after="0"/>
        <w:jc w:val="left"/>
        <w:rPr>
          <w:rFonts w:ascii="Times New Roman" w:hAnsi="Times New Roman"/>
          <w:sz w:val="20"/>
        </w:rPr>
      </w:pPr>
      <w:r>
        <w:rPr>
          <w:rFonts w:ascii="Times New Roman" w:hAnsi="Times New Roman"/>
          <w:sz w:val="20"/>
        </w:rPr>
        <w:t xml:space="preserve">Our fourth Employee Stock Option Plan (“ESOP IV”) is a program under which participants were granted stock options to subscribe for class A shares in our company, and was approved by our board of directors on October 23, 2025 based on the authorization from our shareholders At our general meeting held on August 7, 2025. As at the date of this prospectus, options to subscribe for up to an aggregate of 7,893,796 IQM Shares are outstanding. Eligible participants in ESOP IV include our employees, officers, directors, advisors or any other eligible individuals. Options under ESOP IV were granted starting on October 2025, and ESOP IV closed for additional grants as of June 15, 2026. </w:t>
      </w:r>
    </w:p>
    <w:p>
      <w:pPr>
        <w:pStyle w:val="TextBody"/>
        <w:bidi w:val="0"/>
        <w:spacing w:before="240" w:after="0"/>
        <w:jc w:val="left"/>
        <w:rPr>
          <w:rFonts w:ascii="Times New Roman" w:hAnsi="Times New Roman"/>
          <w:sz w:val="20"/>
        </w:rPr>
      </w:pPr>
      <w:r>
        <w:rPr>
          <w:rFonts w:ascii="Times New Roman" w:hAnsi="Times New Roman"/>
          <w:sz w:val="20"/>
        </w:rPr>
        <w:t xml:space="preserve">The options under ESOP IV were granted for no consideration, though grantees must pay the exercise price of such options to subscribe for their underlying class A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 right immediately before the effective time of the Share Split by (2) the Share Split Factor (rounded up to the nearest whole cent). The exercise price per pre-share split share of option rights in ESOP IV was 474.86.The options granted under ESOP IV expire on October 23, 2039 and are not transferrable and may not be pledged. </w:t>
      </w:r>
    </w:p>
    <w:p>
      <w:pPr>
        <w:pStyle w:val="TextBody"/>
        <w:bidi w:val="0"/>
        <w:spacing w:before="240" w:after="0"/>
        <w:jc w:val="left"/>
        <w:rPr>
          <w:rFonts w:ascii="Times New Roman" w:hAnsi="Times New Roman"/>
          <w:sz w:val="20"/>
        </w:rPr>
      </w:pPr>
      <w:r>
        <w:rPr>
          <w:rFonts w:ascii="Times New Roman" w:hAnsi="Times New Roman"/>
          <w:sz w:val="20"/>
        </w:rPr>
        <w:t xml:space="preserve">The number of options is subject to customary adjustment for any stock split or combination affecting our class A shares. In the event of (i) IQM’s shareholders selling, exchanging, or otherwise disposing of more than 50% of the shares and votes of IQM, or IQM merging, reorganizing its operations or otherwise becoming subject to a similar transaction subsequent to which the shareholders will possess less than 50% of the shares and votes; (ii) IQM selling, exchanging, or exclusively licensing more than 50% of IQM’s assets or (iii) IQM’s listing on a recognized stock exchange (including via SPAC initial public offering), then our board of directors may resolve to accelerate the vesting of any unvested options under ESOP IV.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an effective code of business conduct and ethics (the “Code of Conduct”), which outlines the principles of legal and ethical business conduct under which we do business. The Code of Conduct applies to IQM’s executive officers, non-executive directors and employees. The full text of the Code of Conduct is available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Amended IQM Articles contain no provisions under which any member of our board of directors and our Chief Executive Officer or officers are indemnified in any manner against any liability which they may incur in their capacity as such. However, Article 8 of the Amended IQM Articles provides that the IQM shareholders will decide at the annual general meeting of shareholders whether to discharge the members of our board of directors and our Chief Executive Officer from liability. </w:t>
      </w:r>
    </w:p>
    <w:p>
      <w:pPr>
        <w:pStyle w:val="TextBody"/>
        <w:bidi w:val="0"/>
        <w:spacing w:before="240" w:after="0"/>
        <w:jc w:val="left"/>
        <w:rPr>
          <w:rFonts w:ascii="Times New Roman" w:hAnsi="Times New Roman"/>
          <w:sz w:val="20"/>
        </w:rPr>
      </w:pPr>
      <w:r>
        <w:rPr>
          <w:rFonts w:ascii="Times New Roman" w:hAnsi="Times New Roman"/>
          <w:sz w:val="20"/>
        </w:rPr>
        <w:t xml:space="preserve">We maintain liability insurance for members of our board of directors and certain of our officers. Such persons are insured against liability for “wrongful acts,” including breach of duty, breach of trust, neglect, error and misstatement.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6013_18"/>
      <w:bookmarkEnd w:id="20"/>
      <w:r>
        <w:rPr>
          <w:rFonts w:ascii="Times New Roman" w:hAnsi="Times New Roman"/>
          <w:b/>
          <w:sz w:val="20"/>
        </w:rPr>
        <w:t xml:space="preserve">DESCRIPTION OF SHARE CAPITAL AND ARTICLES OF ASSOCIATION </w:t>
      </w:r>
    </w:p>
    <w:p>
      <w:pPr>
        <w:pStyle w:val="TextBody"/>
        <w:bidi w:val="0"/>
        <w:spacing w:before="240" w:after="0"/>
        <w:jc w:val="left"/>
        <w:rPr>
          <w:rFonts w:ascii="Times New Roman" w:hAnsi="Times New Roman"/>
          <w:i/>
          <w:sz w:val="20"/>
        </w:rPr>
      </w:pPr>
      <w:r>
        <w:rPr>
          <w:rFonts w:ascii="Times New Roman" w:hAnsi="Times New Roman"/>
          <w:i/>
          <w:sz w:val="20"/>
        </w:rPr>
        <w:t xml:space="preserve">Set forth below is a summary of certain information concerning our share capital as well as description of certain provisions of the Amended IQM Articles , as well as relevant provisions of the Finnish Limited Liability Companies Act (624/2006, as amended, the “Finnish Companies Act”). The summary below contains only material information concerning our share capital and corporate status and does not purport to be complete and is qualified in its entirety by reference to the Amended IQM Articles and applicable Finnish law. This description is qualified by reference to the Amended IQM Articles . </w:t>
      </w:r>
    </w:p>
    <w:p>
      <w:pPr>
        <w:pStyle w:val="TextBody"/>
        <w:bidi w:val="0"/>
        <w:spacing w:before="360" w:after="0"/>
        <w:jc w:val="left"/>
        <w:rPr>
          <w:rFonts w:ascii="Times New Roman" w:hAnsi="Times New Roman"/>
          <w:i/>
          <w:sz w:val="20"/>
        </w:rPr>
      </w:pPr>
      <w:r>
        <w:rPr>
          <w:rFonts w:ascii="Times New Roman" w:hAnsi="Times New Roman"/>
          <w:i/>
          <w:sz w:val="20"/>
        </w:rPr>
        <w:t xml:space="preserve">In this section, the terms “we,” “our” or “us” refer to IQM following the consummation of the Business Combination. Further, please note that as a holder of IQM ADSs, you will not be treated as one of our shareholders and will not have any shareholder rights. Effective June 30, 2026, we effected the Share Split. All share and per share amounts in this section have been adjusted for all periods presented to reflect the Share Split. </w:t>
      </w:r>
    </w:p>
    <w:p>
      <w:pPr>
        <w:pStyle w:val="TextBody"/>
        <w:bidi w:val="0"/>
        <w:spacing w:before="36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 Capital and Shares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completion of the Business Combination, our registered share capital was 80,000, represented by 258,631,734 shares, of which 155,931,734 shares have voting rights and 102,700,000 are treasury shares held by us that we cannot vote. As of August 3, 2026, there were 189,496,218 IQM Shares outstanding. Our shares have no nominal or par value and our share capital may be increased or reduced without amending our articles of association. Our share capital is denominated in euros. There is no maximum number of authorized shares. We have one share class. Each IQM Share will entitle a holder to one vote at our general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Options and Warrants </w:t>
      </w:r>
    </w:p>
    <w:p>
      <w:pPr>
        <w:pStyle w:val="TextBody"/>
        <w:bidi w:val="0"/>
        <w:spacing w:before="120" w:after="0"/>
        <w:jc w:val="left"/>
        <w:rPr>
          <w:rFonts w:ascii="Times New Roman" w:hAnsi="Times New Roman"/>
          <w:sz w:val="20"/>
        </w:rPr>
      </w:pPr>
      <w:r>
        <w:rPr>
          <w:rFonts w:ascii="Times New Roman" w:hAnsi="Times New Roman"/>
          <w:sz w:val="20"/>
        </w:rPr>
        <w:t>As of August 3, 2026, we have issued and outstanding options and warrants entitling our holders a total of 32,603,100 IQM Shares. 19,056,614 of those IQM Shares are issuable through the exercise of options issued under our employee stock option programs I, III and IV. The employee stock option programs have been described under the section “</w:t>
      </w:r>
      <w:r>
        <w:rPr>
          <w:rFonts w:ascii="Times New Roman" w:hAnsi="Times New Roman"/>
          <w:i/>
          <w:sz w:val="20"/>
        </w:rPr>
        <w:t>Management</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2025, we issued 43,092 series B warrants in connection with our series B financing round to Suomen Teollisuussijoitus Oy, Ten Eleven Fund III, L.P. and Ten Eleven Fund III-A, L.P.. Each warrant entitles the holder to subscribe for one new class E share with the subscription price of 474.86. The subscription period commenced on March 11, 2025 and was to expire on June 11, 2026. In May 2026, the series B warrants were exercised for cash by the holders thereof pursuant to the terms of the warrant agreements, resulting in cash proceeds of 20.5 million ($24.0 million) and the issuance of 43,092 Series B pre-share split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RAAQ, Lucky Lucko, Inc. d/b/a Efficiency (the “Existing Warrant Agent”) and Computershare Inc. (the “New Warrant Agent”) entered into a warrant assignment, assumption and amendment agreement (the “Warrant Assignment Agreement”), pursuant to which, among other things, RAAQ assigned to us, and we assumed, all of RAAQ’s rights, interests and obligations under the Warrant Agreement dated April 28, 2025, by and between RAAQ and the Existing Warrant Agent (the “RAAQ Warrant Agreement”). The New Warrant Agent was appointed as successor warrant agent, replacing the Existing Warrant Agent. Upon consummation of the Business Combination, 8,624,994 outstanding public warrants, 2,180,981 sponsor warrants and 1,725,000 private placement warrants issued by RAAQ were assumed by us and converted into IQM Warrants. Each IQM Warrant entitles the holder to purchase one IQM Share, to be delivered in the form of one IQM ADS, at an exercise price of $11.50 per ADS, subject to adjustment for share splits, share capitalizations, dividends, reorganizations and other corporate events as set out in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Assignment Agreement. The IQM Warrants became exercisable on July 31, 2026 and will expire on July 1, 2031. The assumed private placement warrants may be exercised on a cashless basis at any time. The assumed public warrants may be exercised on a cashless basis if a registration statement covering the underlying IQM ADSs is not effective or if we elect to require cashless exercise in connection with a redemption. We may redeem all outstanding public warrants at a price of $0.01 per warrant, provided that the last reported sale price of the IQM ADSs equals or exceeds $18.00 per IQM ADS on each of the 20 trading days within any 30-trading-day period commencing after the warrants become exercisable, and subject to a 30-day prior written notice to holders. Private placement warrants are not subject to redemption by us. </w:t>
      </w:r>
    </w:p>
    <w:p>
      <w:pPr>
        <w:pStyle w:val="TextBody"/>
        <w:bidi w:val="0"/>
        <w:spacing w:before="360" w:after="0"/>
        <w:jc w:val="left"/>
        <w:rPr>
          <w:rFonts w:ascii="Times New Roman" w:hAnsi="Times New Roman"/>
          <w:b/>
          <w:sz w:val="20"/>
        </w:rPr>
      </w:pPr>
      <w:r>
        <w:rPr>
          <w:rFonts w:ascii="Times New Roman" w:hAnsi="Times New Roman"/>
          <w:b/>
          <w:sz w:val="20"/>
        </w:rPr>
        <w:t xml:space="preserve">History of Securities Issuances </w:t>
      </w:r>
    </w:p>
    <w:p>
      <w:pPr>
        <w:pStyle w:val="TextBody"/>
        <w:bidi w:val="0"/>
        <w:spacing w:before="120" w:after="0"/>
        <w:jc w:val="left"/>
        <w:rPr>
          <w:rFonts w:ascii="Times New Roman" w:hAnsi="Times New Roman"/>
          <w:sz w:val="20"/>
        </w:rPr>
      </w:pPr>
      <w:r>
        <w:rPr>
          <w:rFonts w:ascii="Times New Roman" w:hAnsi="Times New Roman"/>
          <w:sz w:val="20"/>
        </w:rPr>
        <w:t xml:space="preserve">From January 1, 2023 through August 1, 2026, the following events have changed the number of our issued and outstanding ordinary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8"/>
        <w:gridCol w:w="208"/>
        <w:gridCol w:w="1829"/>
        <w:gridCol w:w="208"/>
        <w:gridCol w:w="1573"/>
        <w:gridCol w:w="120"/>
        <w:gridCol w:w="3999"/>
      </w:tblGrid>
      <w:tr>
        <w:trPr/>
        <w:tc>
          <w:tcPr>
            <w:tcW w:w="2268"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Action</w:t>
            </w:r>
          </w:p>
        </w:tc>
        <w:tc>
          <w:tcPr>
            <w:tcW w:w="208" w:type="dxa"/>
            <w:tcBorders/>
            <w:vAlign w:val="bottom"/>
          </w:tcPr>
          <w:p>
            <w:pPr>
              <w:pStyle w:val="TableContents"/>
              <w:bidi w:val="0"/>
              <w:spacing w:before="0" w:after="283"/>
              <w:jc w:val="left"/>
              <w:rPr/>
            </w:pPr>
            <w:r>
              <w:rPr/>
              <w:t>  </w:t>
            </w:r>
          </w:p>
        </w:tc>
        <w:tc>
          <w:tcPr>
            <w:tcW w:w="1829"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208" w:type="dxa"/>
            <w:tcBorders/>
            <w:vAlign w:val="bottom"/>
          </w:tcPr>
          <w:p>
            <w:pPr>
              <w:pStyle w:val="TableContents"/>
              <w:bidi w:val="0"/>
              <w:spacing w:before="0" w:after="283"/>
              <w:jc w:val="left"/>
              <w:rPr/>
            </w:pPr>
            <w:r>
              <w:rPr/>
              <w:t>  </w:t>
            </w:r>
          </w:p>
        </w:tc>
        <w:tc>
          <w:tcPr>
            <w:tcW w:w="1573"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Subscription price</w:t>
            </w:r>
          </w:p>
        </w:tc>
        <w:tc>
          <w:tcPr>
            <w:tcW w:w="120" w:type="dxa"/>
            <w:tcBorders/>
            <w:vAlign w:val="bottom"/>
          </w:tcPr>
          <w:p>
            <w:pPr>
              <w:pStyle w:val="TableContents"/>
              <w:bidi w:val="0"/>
              <w:spacing w:before="0" w:after="283"/>
              <w:jc w:val="left"/>
              <w:rPr/>
            </w:pPr>
            <w:r>
              <w:rPr/>
              <w:t>  </w:t>
            </w:r>
          </w:p>
        </w:tc>
        <w:tc>
          <w:tcPr>
            <w:tcW w:w="3999"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Option Exercise</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183,619</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w:t>
            </w:r>
            <w:r>
              <w:rPr/>
              <w:t>0.41</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Options issued under ESOP I, which were not transferred to the terms of ESOP III, were exercised prior to July 15, 2026 with an exercise price of €0.41</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Warrant Exercise</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577,237</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w:t>
            </w:r>
            <w:r>
              <w:rPr/>
              <w:t>0.01</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July 9, 2026 the exercise of the Kreos Warrants</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158,105,759</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June 25, 2026 based on general meeting authorisation dated February 27, 2026 (Share-Split)</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Convertible Loan Conversion</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27,208 ordinary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289.84</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Options issued under Aalto University Convertible Loans were converted into pre-share split shares on June 18, 2026 with a conversion price of 289.84 per share</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Warrant Exercise</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43,092</w:t>
            </w:r>
          </w:p>
          <w:p>
            <w:pPr>
              <w:pStyle w:val="TableContents"/>
              <w:bidi w:val="0"/>
              <w:spacing w:before="0" w:after="20"/>
              <w:jc w:val="left"/>
              <w:rPr>
                <w:rFonts w:ascii="Times New Roman" w:hAnsi="Times New Roman"/>
                <w:sz w:val="20"/>
              </w:rPr>
            </w:pPr>
            <w:r>
              <w:rPr>
                <w:rFonts w:ascii="Times New Roman" w:hAnsi="Times New Roman"/>
                <w:sz w:val="20"/>
              </w:rPr>
              <w:t>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May 13, 2026 the exercise of IQM Series B Warrants by holders thereof</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102,700,000 class A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Shareholders unanimously resolved on February 27, 2026</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15,112 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17, 2025 based on general meeting authorisation dated December 12,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Cancellation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15,112 class A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17,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Cancellation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17,251 class C shares and 24,334 class D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16,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251,548 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August 15, 2025 based on general meeting authorisation dated August 7,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24"/>
        <w:gridCol w:w="212"/>
        <w:gridCol w:w="1758"/>
        <w:gridCol w:w="212"/>
        <w:gridCol w:w="1604"/>
        <w:gridCol w:w="120"/>
        <w:gridCol w:w="4075"/>
      </w:tblGrid>
      <w:tr>
        <w:trPr/>
        <w:tc>
          <w:tcPr>
            <w:tcW w:w="222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22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Action</w:t>
            </w:r>
          </w:p>
        </w:tc>
        <w:tc>
          <w:tcPr>
            <w:tcW w:w="212" w:type="dxa"/>
            <w:tcBorders/>
            <w:vAlign w:val="bottom"/>
          </w:tcPr>
          <w:p>
            <w:pPr>
              <w:pStyle w:val="TableContents"/>
              <w:bidi w:val="0"/>
              <w:spacing w:before="0" w:after="283"/>
              <w:jc w:val="left"/>
              <w:rPr/>
            </w:pPr>
            <w:r>
              <w:rPr/>
              <w:t>  </w:t>
            </w:r>
          </w:p>
        </w:tc>
        <w:tc>
          <w:tcPr>
            <w:tcW w:w="1758"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212" w:type="dxa"/>
            <w:tcBorders/>
            <w:vAlign w:val="bottom"/>
          </w:tcPr>
          <w:p>
            <w:pPr>
              <w:pStyle w:val="TableContents"/>
              <w:bidi w:val="0"/>
              <w:spacing w:before="0" w:after="283"/>
              <w:jc w:val="left"/>
              <w:rPr/>
            </w:pPr>
            <w:r>
              <w:rPr/>
              <w:t>  </w:t>
            </w:r>
          </w:p>
        </w:tc>
        <w:tc>
          <w:tcPr>
            <w:tcW w:w="1604"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Subscription price</w:t>
            </w:r>
          </w:p>
        </w:tc>
        <w:tc>
          <w:tcPr>
            <w:tcW w:w="120" w:type="dxa"/>
            <w:tcBorders/>
            <w:vAlign w:val="bottom"/>
          </w:tcPr>
          <w:p>
            <w:pPr>
              <w:pStyle w:val="TableContents"/>
              <w:bidi w:val="0"/>
              <w:spacing w:before="0" w:after="283"/>
              <w:jc w:val="left"/>
              <w:rPr/>
            </w:pPr>
            <w:r>
              <w:rPr/>
              <w:t>  </w:t>
            </w:r>
          </w:p>
        </w:tc>
        <w:tc>
          <w:tcPr>
            <w:tcW w:w="4075"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2224" w:type="dxa"/>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1816" w:type="dxa"/>
            <w:gridSpan w:val="2"/>
            <w:tcBorders/>
            <w:vAlign w:val="center"/>
          </w:tcPr>
          <w:p>
            <w:pPr>
              <w:pStyle w:val="TableContents"/>
              <w:bidi w:val="0"/>
              <w:spacing w:before="0" w:after="283"/>
              <w:jc w:val="left"/>
              <w:rPr>
                <w:sz w:val="4"/>
                <w:szCs w:val="4"/>
              </w:rPr>
            </w:pPr>
            <w:r>
              <w:rPr>
                <w:sz w:val="4"/>
                <w:szCs w:val="4"/>
              </w:rPr>
            </w:r>
          </w:p>
        </w:tc>
        <w:tc>
          <w:tcPr>
            <w:tcW w:w="4195" w:type="dxa"/>
            <w:gridSpan w:val="2"/>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pPr>
            <w:r>
              <w:rPr/>
              <w:t>Issuance of shares</w:t>
            </w:r>
          </w:p>
        </w:tc>
        <w:tc>
          <w:tcPr>
            <w:tcW w:w="212" w:type="dxa"/>
            <w:tcBorders/>
            <w:vAlign w:val="bottom"/>
          </w:tcPr>
          <w:p>
            <w:pPr>
              <w:pStyle w:val="TableContents"/>
              <w:bidi w:val="0"/>
              <w:spacing w:before="0" w:after="283"/>
              <w:jc w:val="left"/>
              <w:rPr/>
            </w:pPr>
            <w:r>
              <w:rPr/>
              <w:t>  </w:t>
            </w:r>
          </w:p>
        </w:tc>
        <w:tc>
          <w:tcPr>
            <w:tcW w:w="1758" w:type="dxa"/>
            <w:tcBorders/>
          </w:tcPr>
          <w:p>
            <w:pPr>
              <w:pStyle w:val="TableContents"/>
              <w:bidi w:val="0"/>
              <w:spacing w:before="0" w:after="283"/>
              <w:jc w:val="left"/>
              <w:rPr/>
            </w:pPr>
            <w:r>
              <w:rPr/>
              <w:t>327,571 class E shares</w:t>
            </w:r>
          </w:p>
        </w:tc>
        <w:tc>
          <w:tcPr>
            <w:tcW w:w="212"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283"/>
              <w:jc w:val="left"/>
              <w:rPr/>
            </w:pPr>
            <w:r>
              <w:rPr/>
              <w:t>Board resolved on March 11, 2025 based on general meeting authorisation dated March 7, 2025</w:t>
            </w:r>
          </w:p>
        </w:tc>
      </w:tr>
      <w:tr>
        <w:trPr>
          <w:trHeight w:val="120" w:hRule="atLeast"/>
        </w:trPr>
        <w:tc>
          <w:tcPr>
            <w:tcW w:w="2224" w:type="dxa"/>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1816" w:type="dxa"/>
            <w:gridSpan w:val="2"/>
            <w:tcBorders/>
            <w:vAlign w:val="center"/>
          </w:tcPr>
          <w:p>
            <w:pPr>
              <w:pStyle w:val="TableContents"/>
              <w:bidi w:val="0"/>
              <w:spacing w:before="0" w:after="283"/>
              <w:jc w:val="left"/>
              <w:rPr>
                <w:sz w:val="4"/>
                <w:szCs w:val="4"/>
              </w:rPr>
            </w:pPr>
            <w:r>
              <w:rPr>
                <w:sz w:val="4"/>
                <w:szCs w:val="4"/>
              </w:rPr>
            </w:r>
          </w:p>
        </w:tc>
        <w:tc>
          <w:tcPr>
            <w:tcW w:w="4195" w:type="dxa"/>
            <w:gridSpan w:val="2"/>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pPr>
            <w:r>
              <w:rPr/>
              <w:t>Issuance of shares</w:t>
            </w:r>
          </w:p>
        </w:tc>
        <w:tc>
          <w:tcPr>
            <w:tcW w:w="212" w:type="dxa"/>
            <w:tcBorders/>
            <w:vAlign w:val="bottom"/>
          </w:tcPr>
          <w:p>
            <w:pPr>
              <w:pStyle w:val="TableContents"/>
              <w:bidi w:val="0"/>
              <w:spacing w:before="0" w:after="283"/>
              <w:jc w:val="left"/>
              <w:rPr/>
            </w:pPr>
            <w:r>
              <w:rPr/>
              <w:t>  </w:t>
            </w:r>
          </w:p>
        </w:tc>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48,324 class D shares</w:t>
            </w:r>
          </w:p>
          <w:p>
            <w:pPr>
              <w:pStyle w:val="TableContents"/>
              <w:bidi w:val="0"/>
              <w:spacing w:before="0" w:after="20"/>
              <w:jc w:val="left"/>
              <w:rPr>
                <w:rFonts w:ascii="Times New Roman" w:hAnsi="Times New Roman"/>
                <w:sz w:val="20"/>
              </w:rPr>
            </w:pPr>
            <w:r>
              <w:rPr>
                <w:rFonts w:ascii="Times New Roman" w:hAnsi="Times New Roman"/>
                <w:sz w:val="20"/>
              </w:rPr>
              <w:t>Increased to 48,373 class D shares</w:t>
            </w:r>
          </w:p>
        </w:tc>
        <w:tc>
          <w:tcPr>
            <w:tcW w:w="212"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410.94</w:t>
            </w:r>
          </w:p>
        </w:tc>
        <w:tc>
          <w:tcPr>
            <w:tcW w:w="120"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0"/>
              <w:jc w:val="left"/>
              <w:rPr>
                <w:rFonts w:ascii="Times New Roman" w:hAnsi="Times New Roman"/>
                <w:sz w:val="20"/>
              </w:rPr>
            </w:pPr>
            <w:r>
              <w:rPr>
                <w:rFonts w:ascii="Times New Roman" w:hAnsi="Times New Roman"/>
                <w:sz w:val="20"/>
              </w:rPr>
              <w:t>Board resolved on August 31, 2023 based on general meeting authorisation dated June 29, 2023</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Regarding the increase in issued amount: Board resolved on October 31, 2023 based on general meeting authorisation dated June 29, 2023</w:t>
            </w:r>
          </w:p>
        </w:tc>
      </w:tr>
      <w:tr>
        <w:trPr>
          <w:trHeight w:val="120" w:hRule="atLeast"/>
        </w:trPr>
        <w:tc>
          <w:tcPr>
            <w:tcW w:w="2224" w:type="dxa"/>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1816" w:type="dxa"/>
            <w:gridSpan w:val="2"/>
            <w:tcBorders/>
            <w:vAlign w:val="center"/>
          </w:tcPr>
          <w:p>
            <w:pPr>
              <w:pStyle w:val="TableContents"/>
              <w:bidi w:val="0"/>
              <w:spacing w:before="0" w:after="283"/>
              <w:jc w:val="left"/>
              <w:rPr>
                <w:sz w:val="4"/>
                <w:szCs w:val="4"/>
              </w:rPr>
            </w:pPr>
            <w:r>
              <w:rPr>
                <w:sz w:val="4"/>
                <w:szCs w:val="4"/>
              </w:rPr>
            </w:r>
          </w:p>
        </w:tc>
        <w:tc>
          <w:tcPr>
            <w:tcW w:w="4195" w:type="dxa"/>
            <w:gridSpan w:val="2"/>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pPr>
            <w:r>
              <w:rPr/>
              <w:t>Issuance of shares</w:t>
            </w:r>
          </w:p>
        </w:tc>
        <w:tc>
          <w:tcPr>
            <w:tcW w:w="212" w:type="dxa"/>
            <w:tcBorders/>
            <w:vAlign w:val="bottom"/>
          </w:tcPr>
          <w:p>
            <w:pPr>
              <w:pStyle w:val="TableContents"/>
              <w:bidi w:val="0"/>
              <w:spacing w:before="0" w:after="283"/>
              <w:jc w:val="left"/>
              <w:rPr/>
            </w:pPr>
            <w:r>
              <w:rPr/>
              <w:t>  </w:t>
            </w:r>
          </w:p>
        </w:tc>
        <w:tc>
          <w:tcPr>
            <w:tcW w:w="1758" w:type="dxa"/>
            <w:tcBorders/>
          </w:tcPr>
          <w:p>
            <w:pPr>
              <w:pStyle w:val="TableContents"/>
              <w:bidi w:val="0"/>
              <w:spacing w:before="0" w:after="283"/>
              <w:jc w:val="left"/>
              <w:rPr/>
            </w:pPr>
            <w:r>
              <w:rPr/>
              <w:t>7,300 class D shares</w:t>
            </w:r>
          </w:p>
        </w:tc>
        <w:tc>
          <w:tcPr>
            <w:tcW w:w="212"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410.94</w:t>
            </w:r>
          </w:p>
        </w:tc>
        <w:tc>
          <w:tcPr>
            <w:tcW w:w="120"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283"/>
              <w:jc w:val="left"/>
              <w:rPr/>
            </w:pPr>
            <w:r>
              <w:rPr/>
              <w:t>Board resolved on October 31, 2023 based on general meeting authorisation dated October 31, 2023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14,381,747 IQM Shares issued on July 1, 2026 to the RAAQ shareholders in connection with the Closing of the Business Combination and 14,548,000 IQM Shares issued on July 1, 2026 to the PIPE Investors.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Reconciliation of IQM Shares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reconciliation of the number of shares issued as of December 31, 2024 and 2025: </w:t>
      </w:r>
    </w:p>
    <w:p>
      <w:pPr>
        <w:pStyle w:val="TextBody"/>
        <w:bidi w:val="0"/>
        <w:spacing w:before="0" w:after="0"/>
        <w:jc w:val="left"/>
        <w:rPr/>
      </w:pPr>
      <w:r>
        <w:rPr/>
        <w:t> </w:t>
      </w:r>
    </w:p>
    <w:tbl>
      <w:tblPr>
        <w:tblW w:w="8280" w:type="dxa"/>
        <w:jc w:val="center"/>
        <w:tblInd w:w="0" w:type="dxa"/>
        <w:tblLayout w:type="fixed"/>
        <w:tblCellMar>
          <w:top w:w="0" w:type="dxa"/>
          <w:left w:w="0" w:type="dxa"/>
          <w:bottom w:w="0" w:type="dxa"/>
          <w:right w:w="0" w:type="dxa"/>
        </w:tblCellMar>
      </w:tblPr>
      <w:tblGrid>
        <w:gridCol w:w="650"/>
        <w:gridCol w:w="120"/>
        <w:gridCol w:w="209"/>
        <w:gridCol w:w="3426"/>
        <w:gridCol w:w="60"/>
        <w:gridCol w:w="120"/>
        <w:gridCol w:w="209"/>
        <w:gridCol w:w="3426"/>
        <w:gridCol w:w="60"/>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 at December 31, 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 at December 31, 2025</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316,949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316,949</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B</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291,090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291,090</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C</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134,457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134,457</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D</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306,271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306,271</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E</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579,119</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1,048,767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1,627,886</w:t>
            </w:r>
          </w:p>
        </w:tc>
        <w:tc>
          <w:tcPr>
            <w:tcW w:w="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Authorization for the Issue of Shares, on the Issue of Options and Other Rights Entitling to Shares and on the Share Repurchase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Business Combination, the following authorizations granted to our board of directors by our shareholders was in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27, 2026, our board of directors was authorized to issue shares and special rights entitling to shares pursuant to Chapter 10, Section 1 of the Finnish Companies Act, in one or several parts, either against payment or without payment. The aggregate number of IQM Shares to be received based on shares and special rights may not exceed 36,854,993 IQM Shares. The authorization may be exercised to implement incentive programs, including a new share-based long-term incentive program. The authorization may be used so that the shares and special rights would be issued directly to our employees, management and CEOs and our subsidiaries or to a holding company established separately for the implementation of incentive programs. The authorization may also be used for issuing shares, option rights and other special rights entitling to shares to the members of our board of directors as remuneration. Our board of directors was authorized to decide on all other matters related to the issuance of shares and special rights entitling to shares, including the right to deviate from the pre-emptive right of shareholders. The authorization is valid until further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12, 2026, our board of directors was authorized to issue new shares and/or convey treasury shares and to issue special rights entitling to shares pursuant to Chapter 10, Section 1 of the Finnish Companies Act in one or more instalments against or without payment, and the issuance of special rights entitling to shares referred to in Chapter 10, Section 1 of the Finnish Companies Act by one or several decisions on following terms and conditions. The number of shares to be issued pursuant to the authorization and the number of shares issued or conveyed by virtue of the authorization to issue special rights entitling to shares shall not exceed 95,500,000 shares. The authorization can be used for example for the purposes of our share-based incentive programs, corporate acquisitions, for issuing shares, option rights and other special rights entitling to shares to the members of our board of directors as remuneration or for other purposes decided by our board of directors. Pursuant to the authorization, our board of directors is entitled to decide on the terms of the share issue or conveyance of the treasury shares held by us, including the criteria for determining the subscription price and the final subscription price of the issued or conveyed shares, as well as the approval of share subscriptions, the allocation of issued new shares or treasury shares held by us conveyed, and the final number of shares to be issued or conveyed. Under the authorization, the shares can also be issued or conveyed in a directed issue, in deviation from the shareholder’s pre-emptive subscription right, for a weighty financial reason for us. The authorization is in effect for five years, i.e. until June 12,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27, 2026, our board of directors was authorized to repurchase IQM Shares in one or several tranches. Under this authorization, the number of IQM series A shares to be repurchased shall not exceed 25,000,000 shares subject to the provisions of the Finnish Companies Act on the maximum number of IQM shares that we or our subsidiaries may own or pledge. Only our unrestricted equity may be used for repurchasing IQM Shares on the basis of the authorization. Under the authorization, a shareholder may convey shares back to us against or without a payment. IQM Shares can be repurchased at most at the price formed for shares in public trading or at the price otherwise formed on the market on the purchase day. Our board of directors may decides on how IQM Shares will be repurchased, and IQM Shares may be repurchased otherwise than in proportion to the shareholdings of the shareholders (directed repurchase). The authorization is in effect for 18 months, i.e., until August 27,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Articles of Association and Finnish Law </w:t>
      </w:r>
    </w:p>
    <w:p>
      <w:pPr>
        <w:pStyle w:val="TextBody"/>
        <w:bidi w:val="0"/>
        <w:spacing w:before="120" w:after="0"/>
        <w:jc w:val="left"/>
        <w:rPr>
          <w:rFonts w:ascii="Times New Roman" w:hAnsi="Times New Roman"/>
          <w:i/>
          <w:sz w:val="20"/>
        </w:rPr>
      </w:pPr>
      <w:r>
        <w:rPr>
          <w:rFonts w:ascii="Times New Roman" w:hAnsi="Times New Roman"/>
          <w:i/>
          <w:sz w:val="20"/>
        </w:rPr>
        <w:t xml:space="preserve">Set forth below is a summary of relevant information concerning our share capital and material provisions of the Amended IQM Articles and applicable Finnish law. This summary does not contain all the information relating to IQM ADSs, IQM Warrants or IQM Shares that may be important to you, and we urge you to read this summary in conjunction with the section “Description of American Depositary Shares” included elsewhere in this prospectus, before deciding to invest in IQM ADSs, IQM Warrants or IQM Shares. This summary does not constitute legal advice regarding those matters and should not be regarded as such. Because such statements are summaries, they do not address all aspects of Finnish law that may be relevant to us and our shareholders or all aspects of Delaware law which may differ from Finnish law, and they are not intended to be a complete discussion of the respective rights. For a description of matters related to our board of directors and their indemnification, see the sections titled “Description of Share Capital and Articles of Association” and “Management”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Finnish Companies Act, our shareholders holding at least a two-thirds majority of the votes cast and shares represented at a general meeting of shareholders have the power to amend our articles of association. However, subject to the nature of the matter to be resolved, the provisions of the Finnish Companies Act regarding a qualified majority apply to certain resolutions. For example, resolutions involving amendments to the articles of association that change the respective rights of shareholders holding the same class of shares or increase the redemption rights of a company or its shareholders, would require the consent of all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if only certain shareholders are affected, would require the consent of all shareholders affected by the amendment in addition to the applicable majority requirement. For further information relating to holders of IQM ADSs, IQM Shares and IQM Warrants, see the “</w:t>
      </w:r>
      <w:r>
        <w:rPr>
          <w:rFonts w:ascii="Times New Roman" w:hAnsi="Times New Roman"/>
          <w:i/>
          <w:sz w:val="20"/>
        </w:rPr>
        <w:t>Description of American Depositary Shares</w:t>
      </w:r>
      <w:r>
        <w:rPr>
          <w:rFonts w:ascii="Times New Roman" w:hAnsi="Times New Roman"/>
          <w:sz w:val="20"/>
        </w:rPr>
        <w:t>” and “</w:t>
      </w:r>
      <w:r>
        <w:rPr>
          <w:rFonts w:ascii="Times New Roman" w:hAnsi="Times New Roman"/>
          <w:i/>
          <w:sz w:val="20"/>
        </w:rPr>
        <w:t>Description of Share Capital and Articles of Association</w:t>
      </w:r>
      <w:r>
        <w:rPr>
          <w:rFonts w:ascii="Times New Roman" w:hAnsi="Times New Roman"/>
          <w:sz w:val="20"/>
        </w:rPr>
        <w:t xml:space="preserve">” sections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Shareholders’ Register </w:t>
      </w:r>
    </w:p>
    <w:p>
      <w:pPr>
        <w:pStyle w:val="TextBody"/>
        <w:bidi w:val="0"/>
        <w:spacing w:before="120" w:after="0"/>
        <w:jc w:val="left"/>
        <w:rPr>
          <w:rFonts w:ascii="Times New Roman" w:hAnsi="Times New Roman"/>
          <w:sz w:val="20"/>
        </w:rPr>
      </w:pPr>
      <w:r>
        <w:rPr>
          <w:rFonts w:ascii="Times New Roman" w:hAnsi="Times New Roman"/>
          <w:sz w:val="20"/>
        </w:rPr>
        <w:t xml:space="preserve">Our shares have been entered in dematerialized form into the Finnish book-entry securities system maintained by Euroclear. Companies whose shares are listed on the Nasdaq Helsinki are required to use the Finnish book-entry securities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Object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Business Combination, our object will be set forth in Section 2 of the Amended IQM Articles and will be to research, develop, manufacture, market, sell, license, and deliver products, software, and services related to quantum computing and related technologies. We may conduct our operations by ourselves or through our subsidiaries. As the parent company, we may manage common tasks of the group such as administration and financing. We may also own and manage shares, other securities and properties, as well as engage in securities trading and investment and financing activities that support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Powers of the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resolutions of the Board shall be made by a majority vote. Our board of directors shall direct our policy and shall supervise the performance of our chief executive officer and his or her actions. Our board of directors may exercise all powers that are not required under the Finnish Companies Act or under the Amended IQM Articles to be exercised or taken by our shareholders. Our Directors shall refrain from taking any part in the consideration of an agreement between the Director and us or third party, or any other issue that may provide any material benefit to him or her, which may be contradictory to our interests. Under Finnish law, there is no age limit requirement for Directors. In addition, under Finnish law, the remuneration of the members of the board of directors is resolved upon by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directors have a general authority to decide on the borrowing of the company. The directors must act with care and diligence to promote the interests of the company. This is generally analyzed through the “business judgment rule”. </w:t>
      </w:r>
    </w:p>
    <w:p>
      <w:pPr>
        <w:pStyle w:val="TextBody"/>
        <w:bidi w:val="0"/>
        <w:spacing w:before="240" w:after="0"/>
        <w:jc w:val="left"/>
        <w:rPr>
          <w:rFonts w:ascii="Times New Roman" w:hAnsi="Times New Roman"/>
          <w:sz w:val="20"/>
        </w:rPr>
      </w:pPr>
      <w:r>
        <w:rPr>
          <w:rFonts w:ascii="Times New Roman" w:hAnsi="Times New Roman"/>
          <w:sz w:val="20"/>
        </w:rPr>
        <w:t xml:space="preserve">Directors are not required to hold any securities in the company. If a Director holds at least 10% of shares or votes, a Director is not deemed independent under the Finnish Corporate Governance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Meeting and Consents </w:t>
      </w:r>
    </w:p>
    <w:p>
      <w:pPr>
        <w:pStyle w:val="TextBody"/>
        <w:bidi w:val="0"/>
        <w:spacing w:before="120" w:after="0"/>
        <w:jc w:val="left"/>
        <w:rPr>
          <w:rFonts w:ascii="Times New Roman" w:hAnsi="Times New Roman"/>
          <w:i/>
          <w:sz w:val="20"/>
        </w:rPr>
      </w:pPr>
      <w:r>
        <w:rPr>
          <w:rFonts w:ascii="Times New Roman" w:hAnsi="Times New Roman"/>
          <w:i/>
          <w:sz w:val="20"/>
        </w:rPr>
        <w:t xml:space="preserve">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Finnish Companies Act, collective resolutions by our shareholders are taken by the annual general meeting of shareholders or an extraordinary general meeting of shareholders. The Finnish Companies Act requires that the annual general meeting of shareholders is held within six months of the end of the financial period. According to the Amended IQM Articles, the annual general meeting of shareholders shall be held within six months of the end of the financial year.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resolve on the adoption of the annual accounts, as well as the consolidated annual accounts, the use of the profit or loss shown on the balance sheet and granting discharge from liability to the members of the board of directors and the chief executive officer. Under the Amended IQM Articles, the annual general meeting shall additionally resolve on the adoption of the remuneration report (the resolution is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advisory nature only) and the election and remuneration of the members of the board of directors and the auditor, and other matters identified in the notice to the meeting. After the completion of the Business Combination we must prepare and present, in accordance with the Finnish Companies Act, to the annual general meeting a remuneration policy for an advisory vote every four years, or when material changes are made to the policy. The remuneration of the board of directors and the chief executive officer shall be based on the latest remuneration policy presented to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A general meeting of shareholders passes resolutions by a simple majority of votes cast, unless a qualified majority has been provided for in our articles of association or required by the Finnish Companies Act, in which case a qualified majority of two-thirds of votes cast and shares represented at the general meeting of shareholders is in most such cases required. Resolutions that require a qualified majority include amendments of the articles of association, directed share issuances, issuances of options or other special rights entitling to shares, repurchase and redemption of the company’s own shares, in a public limited liability company, directed repurchase of the company’s own shares, mergers, demergers, transfer of domicile and placing the company into liquidation. The Finnish Companies Act prescribes that a qualified minority of all shares (one-tenth of all shares or, in certain matters, one-third of shares represented at the meeting) may make demands concerning certain matters in a general meeting of shareholders. Such matters include, e.g., (i) the right to postpone adoption of annual accounts and use of profits to a continuation meeting, (ii) supporting a special audit, and (iii) demand a distribution of minority dividend (50% of the profit from the last financial period, but no more than 8% of equity). </w:t>
      </w:r>
    </w:p>
    <w:p>
      <w:pPr>
        <w:pStyle w:val="TextBody"/>
        <w:bidi w:val="0"/>
        <w:spacing w:before="240" w:after="0"/>
        <w:jc w:val="left"/>
        <w:rPr>
          <w:rFonts w:ascii="Times New Roman" w:hAnsi="Times New Roman"/>
          <w:sz w:val="20"/>
        </w:rPr>
      </w:pPr>
      <w:r>
        <w:rPr>
          <w:rFonts w:ascii="Times New Roman" w:hAnsi="Times New Roman"/>
          <w:sz w:val="20"/>
        </w:rPr>
        <w:t xml:space="preserve">Some resolutions require the consent of all affected or all shareholders. Such resolutions are amendments of the articles of association that reduce the shareholder’s right to the profit or the net assets of the company, increase the shareholder’s liability for payments to the company, incorporate a redemption clause or a consent clause into the articles of association, restrict the shareholder’s pre-emptive right to shares, restrict the right to minority dividend, attach a redemption term to the shareholder’s shares, restrict the company’s right to damages, or alter the balance between the rights carried by shares in the same share class and the change affects the shareholder’s shares. In addition, compulsory redemption of the company’s own shares in proportion other than that of the shares held by the shareholders (directed redemption) and distributing funds otherwise than based on shareholding (directed distribution) requires the consent of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general meeting of shareholders handles the matters required by the Finnish Companies Act, our articles of association and as presented to it by our board of directors. As a general rule, the general meeting of shareholders is convened by our board of directors. Pursuant to the Finnish Companies Act, extraordinary general meetings in respect of specific matters must be held when considered necessary by the board of directors, or when requested in writing by the auditor of the company or by our shareholders holding at least 10 percent of all of the shares of the company. Under the Finnish Companies Act, a shareholder may submit a written request to our board of directors to include on the agenda for the next general meeting of shareholders any matter falling within the competence of the general meeting of shareholders, provided that the request is submitted in a sufficiently timely manner as would allow it to be included in the notice to the meeting. After the Business Combination, as we will be a listed company, a request submitted at least four weeks prior to giving notice of a meeting shall be considered sufficiently timely. Under the Amended IQM Articles, a shareholder must notify us of their intention to attend the meeting no later than on the date mentioned in the notice to the meeting, which may be no earlier than ten days prior to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and 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a shareholder may attend and vote at a general meeting of shareholders in person physically, remotely using a remote connection, by way of proxy representation, or by way of advance voting. Following the Business Combination, each of our shares will confer the right to cast one vote at a general meeting of shareholders. Shareholders, who have been entered in our shareholders’ register maintained by Euroclear eight business days before a general meeting of shareholders (the record date), have the right to attend the general meeting of shareholders. In addition, each shareholder or proxy representative may have an assistant present at the general meeting of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proxy representative shall produce a dated proxy document or otherwise in a reliable manner demonstrate his/her right to represent a shareholder at a general meeting of shareholders. When a shareholder participates in the general meeting of shareholders by means of several proxy representatives representing the shareholder based on shares at different securities accounts, the proxy will identify which shares are represented in connection with the registration for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Nominee registered shareholders can attend and vote at the general meeting of shareholders by instructing their broker or other custodian to register the shareholder in our temporary register of shareholders and give the voting instructions in accordance with the broker’s or custodian’s instructions. </w:t>
      </w:r>
    </w:p>
    <w:p>
      <w:pPr>
        <w:pStyle w:val="TextBody"/>
        <w:bidi w:val="0"/>
        <w:spacing w:before="240" w:after="0"/>
        <w:jc w:val="left"/>
        <w:rPr>
          <w:rFonts w:ascii="Times New Roman" w:hAnsi="Times New Roman"/>
          <w:sz w:val="20"/>
        </w:rPr>
      </w:pPr>
      <w:r>
        <w:rPr>
          <w:rFonts w:ascii="Times New Roman" w:hAnsi="Times New Roman"/>
          <w:sz w:val="20"/>
        </w:rPr>
        <w:t xml:space="preserve">At a general meeting of shareholders, resolutions generally require the approval of the majority of the votes cast. However, subject to the nature of the matter to be resolved, the provisions of the Finnish Companies Act regarding a qualified majority apply to certain resolutions. For example, resolutions involving amendments to the articles of association, share issues without shareholders’ pre-emptive subscription rights and decisions on mergers or demergers require a qualified majority of at least two-thirds of the votes cast and of the shares represented at the general meeting of shareholders. In addition, certain resolutions, such as those involving amendments to the articles of association that change the respective rights of shareholders holding the same class of shares or increase the redemption rights of a company or its shareholders, require the consent of all shareholders and if only certain shareholders are affected, require the consent of all shareholders affected by the amendment in addition to the applicable majority requirement. In accordance with Finnish law and generally accepted business practices, our articles of association do not provide quorum requirements generally applicable to general meetings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of Funds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Business Combination, under the Amended IQM Articles each of our shares will confer equal rights to share in the distribution of our funds. Under the Finnish Companies Act, the annual general meeting of shareholders decides on the distribution of dividends, if any, on the basis of the proposal of our board of directors in connection with the adoption of our audited financial statements. Any material changes in a company’s financial situation after the preparation of the financial statements shall be taken into account in the distribution of dividends. Pursuant to the Finnish Companies Act, the distribution of dividends shall be based on the latest adopted and audited financial statements and a company may also pay interim dividends based on the earnings of the current financial year in accordance with the audited financial statements adopted by an extraordinary general meeting of shareholders. A company may distribute only the unrestricted equity less the funds to be left undistributed according to the articles of association, if any. No funds may be distributed if at the time of deciding on the distribution it is known or it should be known that the company is insolvent or that the distribution will result in insolvency. A dividend or other distribution of assets may not exceed the amount proposed or approved by our board of directors. However, if shareholders holding a minimum of one-tenth of all shares so demand at an annual general meeting of shareholders prior to a decision regarding the use of the profit, and sufficient distributable funds are available, the profit to be distributed shall equal at least half of the profit of the financial year after deduction of items to be left undistributed under the articles of association, if any. According to the Finnish Companies Act, shareholders may not, however, request a distribution of profit exceeding 8% of shareholders’ equity. The dividend for the financial year potentially distributed prior to the annual general meeting shall be deducted from the distributable amount. The payment of dividend requires the approval of the majority of the votes cast at the annual general meeting of shareholders. According to the Finnish Companies Act, the annual general meeting of shareholders may also authorize our board of directors to resolve on the distribution of dividends. </w:t>
      </w:r>
    </w:p>
    <w:p>
      <w:pPr>
        <w:pStyle w:val="TextBody"/>
        <w:bidi w:val="0"/>
        <w:spacing w:before="240" w:after="0"/>
        <w:jc w:val="left"/>
        <w:rPr>
          <w:rFonts w:ascii="Times New Roman" w:hAnsi="Times New Roman"/>
          <w:sz w:val="20"/>
        </w:rPr>
      </w:pPr>
      <w:r>
        <w:rPr>
          <w:rFonts w:ascii="Times New Roman" w:hAnsi="Times New Roman"/>
          <w:sz w:val="20"/>
        </w:rPr>
        <w:t xml:space="preserve">Dividends and other distributions are paid to shareholders or their nominees that are included in our shareholders’ register on the relevant record date. Such register is maintained by Euroclear through the relevant book-entry account operators. Under the Finnish book-entry securities system, dividends are paid by account transfers to the accounts of the shareholders appearing in the register. Dividend entitlements lapse after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years if dividends remain unclaimed for that period, in which case the unclaimed dividends will be retained by us. Under the Finnish Companies Act, we may acquire or redeem treasury shares. Decisions on the acquisition or redemption of treasury shares must be made by the general meeting of shareholders and require at least two-thirds of the votes cast as well as of the shares represented at the meeting. The general meeting of shareholders may also authorize our board of directors to decide on acquisition of treasury shares using the unrestricted equity for a specific period of time, which cannot exceed 18 months. Treasury shares may be acquired in a proportion other than that of the shares held by the shareholders only if there is a weighty financial reason for a company to do so. As a general rule, treasury shares may be redeemed in a proportion other than that of the shares held by the shareholders only by the consent of all shareholders. In a public company, the decision to buy back or redeem shares or to accept them as a pledge shall not be made so that the treasury shares in the possession of, or held as pledges by, a company and its subsidiaries would exceed 10% of all shares. Shares held by us or our subsidiaries, if any, are not entitled to participate in the general meeting or to dividend distributions.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any offering of shares, the existing shareholders have a pre-emptive right to subscribe for shares offered in proportion to the amount of shares in their possession. However, a general meeting of shareholders may vote, by a majority of two-thirds of the votes cast and two-thirds of the shares represented at the meeting, to waive this pre-emptive right provided that, from the company’s perspective, weighty financial grounds exist.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Control </w:t>
      </w:r>
    </w:p>
    <w:p>
      <w:pPr>
        <w:pStyle w:val="TextBody"/>
        <w:bidi w:val="0"/>
        <w:spacing w:before="120" w:after="0"/>
        <w:jc w:val="left"/>
        <w:rPr>
          <w:rFonts w:ascii="Times New Roman" w:hAnsi="Times New Roman"/>
          <w:sz w:val="20"/>
        </w:rPr>
      </w:pPr>
      <w:r>
        <w:rPr>
          <w:rFonts w:ascii="Times New Roman" w:hAnsi="Times New Roman"/>
          <w:sz w:val="20"/>
        </w:rPr>
        <w:t>Shares in a Finnish company may be purchased by non-residents of Finland without any separate Finnish exchange control consent. Non-residents may also receive dividends without separate Finnish exchange control consent, the transfer of assets out of Finland being subject to payment by us of withholding taxes in the absence of an applicable taxation treaty. Non-Finnish residents having acquired shares in a Finnish limited liability company may receive shares pursuant to a bonus issue or through participation in a rights issue without separate Finnish exchange control consent. Shares in a Finnish company may be sold in Finland to non-Finnish residents, and the proceeds of such sale may be transferred out of Finland in any convertible currency. There are no Finnish exchange control regulations restricting the sale of shares in a Finnish company by non-residents to other non-residents.</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Disclosure of Shareholder Ownership or Voting Power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Finnish Securities Markets Act, a shareholder is required to notify, without undue delay, a Finnish listed company and the Finnish Financial Supervisory Authority when its voting rights in, or its percentage ownership of the total number of shares of such Finnish listed company reaches, exceeds or falls below 5, 10, 15, 20, 25, 30, 50 or 90 percent or two thirds (66.67 percent), calculated in accordance with the Finnish Securities Markets Act (flagging notification). A notification of major holdings must also be made when a shareholder is entitled to acquire, on the basis of a financial instrument, a number of shares that will reach, exceed or fall below the flagging threshold described above or, when the combined ownership share based either on direct holding or holding through financial instruments reaches, exceeds or falls below the flagging threshold described above. In this connection, the definition of financial instrument also refers to such financial instruments the value of which is determined on the basis of the company’s share and which have a similar economic effect as a financial instrument that entitles its holder to receive the company’s shares. A notification of major holdings must be made regardless of whether the underlying asset of the financial instrument will be settled physically or as net cash settlement. The notification must be submitted without an undue delay, however no later than on the following trading day after the shareholder was informed or should have known about such a change in the shareholder’s voting rights or ownership. The shareholder shall be deemed to have been informed of the said transaction no later than two trading days after the transaction. When a listed company has received the above-mentioned information, it must disclose the information in a stock exchange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Regulation ((EU) No. 236/2012, as amended) of the European Parliament and the Council on short selling and certain aspects of credit default swaps, any person that acquires or disposes of a net short position relating to our issued share capital, or by a transaction creating or relating to any financial instrument where the effect or one of the effects of the transaction is to confer a financial advantage on the person entering into that transaction in the event of a decrease in the price of such shares is required to notify the FIN-FSA if, as a result of which such acquisition or disposal his net short position reaches, exceeds or falls below 0.1% of our issued share capital and each 0.1% above that. If the net short position reaches 0.5%, and also at every 0.1% above that, the FIN-FSA will disclose the net short position to the public.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U.S. federal securities laws, holders of IQM Shares, IQM Warrants and IQM ADSs will be required to comply with disclosure requirements relating to their ownership of our securities. Any person that, after acquiring beneficial ownership of IQM Shares, IQM Warrants or IQM ADSs, is the beneficial owners of more than 5% of the outstanding IQM Shares must file with the SEC a Schedule 13D or Schedule 13G, as applicable, disclosing the information required by such schedules, including the number of IQM Shares or IQM Shares underlying IQM ADSs or IQM Warrants that such person has acquired (whether alone or jointly with one or more other persons). In addition, if any material change occurs in the facts set forth in the report filed on Schedule 13D (including a more than 1% increase or decrease in the percentage of the total shares beneficially owned), the beneficial owner must, within two days of the material change, file an amendment disclosing such change. </w:t>
      </w:r>
    </w:p>
    <w:p>
      <w:pPr>
        <w:pStyle w:val="TextBody"/>
        <w:bidi w:val="0"/>
        <w:spacing w:before="360" w:after="0"/>
        <w:jc w:val="left"/>
        <w:rPr>
          <w:rFonts w:ascii="Times New Roman" w:hAnsi="Times New Roman"/>
          <w:b/>
          <w:i/>
          <w:sz w:val="20"/>
        </w:rPr>
      </w:pPr>
      <w:r>
        <w:rPr>
          <w:rFonts w:ascii="Times New Roman" w:hAnsi="Times New Roman"/>
          <w:b/>
          <w:i/>
          <w:sz w:val="20"/>
        </w:rPr>
        <w:t>Mandatory Tender Offer and Squeeze-Out</w:t>
      </w:r>
    </w:p>
    <w:p>
      <w:pPr>
        <w:pStyle w:val="TextBody"/>
        <w:bidi w:val="0"/>
        <w:spacing w:before="120" w:after="0"/>
        <w:jc w:val="left"/>
        <w:rPr>
          <w:rFonts w:ascii="Times New Roman" w:hAnsi="Times New Roman"/>
          <w:sz w:val="20"/>
        </w:rPr>
      </w:pPr>
      <w:r>
        <w:rPr>
          <w:rFonts w:ascii="Times New Roman" w:hAnsi="Times New Roman"/>
          <w:sz w:val="20"/>
        </w:rPr>
        <w:t xml:space="preserve">Under the Finnish Securities Markets Act, a shareholder whose voting power exceeds 30% or 50% of the total voting rights in a company shall, within one month, offer to purchase the remaining shares of the company, as well as any other rights entitling to the shares issued by the company, such as subscription rights, convertible bonds or stock options issued by the company. The purchase price shall be the market price of the securities in question. Subject to certain exceptions, the market price is determined on the basis of the highest price paid for the security during the preceding six months by the shareholder or any party in close connection to the shareholder. Subject to certain exceptions, if the shareholder or any related party has not during the six months preceding the offer acquired any securities that are the target for the offer, the market price is determined based on the average of the prices paid for the security in public trading during the preceding three months weighted by the volume of trade. </w:t>
      </w:r>
    </w:p>
    <w:p>
      <w:pPr>
        <w:pStyle w:val="TextBody"/>
        <w:bidi w:val="0"/>
        <w:spacing w:before="240" w:after="0"/>
        <w:jc w:val="left"/>
        <w:rPr>
          <w:rFonts w:ascii="Times New Roman" w:hAnsi="Times New Roman"/>
          <w:sz w:val="20"/>
        </w:rPr>
      </w:pPr>
      <w:r>
        <w:rPr>
          <w:rFonts w:ascii="Times New Roman" w:hAnsi="Times New Roman"/>
          <w:sz w:val="20"/>
        </w:rPr>
        <w:t xml:space="preserve">Under the Finnish Companies Act, a shareholder whose holding exceeds nine-tenths of the total number of shares or voting rights in us has both the right and, upon a request from the minority shareholders, the obligation to purchase all the shares of the minority shareholders for the then current market price. The market price is determined, among other things, on the basis of the recent market price of the shares. The purchase procedure under the Finnish Companies Act differs, and the purchase price may differ, from the purchase procedure and price under the Finnish Securities Markets Act, as discussed above. However, if the threshold of nine-tenths has been exceeded through either a mandatory or a voluntary public offer pursuant to the Finnish Securities Markets Act, the market price under the Finnish Companies Act is deemed to be the price offered in the public offer, unless there are specific reasons to deviate from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Screening of Foreign Corporate Acquisitions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Finnish Act on the Screening of Foreign Corporate Acquisitions (172/2012, as amended), a notification to the Ministry of Economic Affairs and Employment is required for a non-resident of Finland, directly or indirectly, when acquiring one-tenth or more of the voting power or corresponding factual influence in a company. The Ministry of Economic Affairs and Employment has to confirm the acquisition unless the acquisition would jeopardize important national interests, in which case the matter is referred to the Council of State. If the company in question is operating in the defense sector, an approval by the Ministry of Economic Affairs and Employment is required before the acquisition is made. These requirements are not applicable if, for instance, the voting power is acquired in a share issue that is proportional to the holder’s ownership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Prohibition of Nominee Registered Holdings for the Benefit of Finnish Citizens and Entities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law, Finnish citizens and entities may not hold securities in a Finnish publicly listed company through a nominee, such as a custodian bank. Accordingly, holding of IQM ADSs may not be allowed for Finnish citizens and entities if this would be deemed in effect to constitute prohibited holding of our shares through a nominee.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share capital consists of an unlimited number of ordinary shares. As of July 29, 2026, there were 263,223,216 ordinary shares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Shares </w:t>
      </w:r>
    </w:p>
    <w:p>
      <w:pPr>
        <w:pStyle w:val="TextBody"/>
        <w:bidi w:val="0"/>
        <w:spacing w:before="120" w:after="0"/>
        <w:jc w:val="left"/>
        <w:rPr>
          <w:rFonts w:ascii="Times New Roman" w:hAnsi="Times New Roman"/>
          <w:sz w:val="20"/>
        </w:rPr>
      </w:pPr>
      <w:r>
        <w:rPr>
          <w:rFonts w:ascii="Times New Roman" w:hAnsi="Times New Roman"/>
          <w:sz w:val="20"/>
        </w:rPr>
        <w:t xml:space="preserve">Each ordinary share entitles a holder to one vote at our general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outstanding Shares are entitled to receive dividends on a share for share basis at such times and in such amounts and form as the Board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Dividends and other distributions are paid to shareholders or their nominees that are included in our shareholders’ register on the relevant record date. Such register is maintained by Euroclear through the relevant book-entry account operators. Under the Finnish book-entry securities system, dividends are paid by account transfers to the accounts of the shareholders appearing in the register. Dividend entitlements lapse after three years if dividends remain unclaimed for that period, in which case the unclaimed dividends will be retained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and Notices </w:t>
      </w:r>
    </w:p>
    <w:p>
      <w:pPr>
        <w:pStyle w:val="TextBody"/>
        <w:bidi w:val="0"/>
        <w:spacing w:before="120" w:after="0"/>
        <w:jc w:val="left"/>
        <w:rPr>
          <w:rFonts w:ascii="Times New Roman" w:hAnsi="Times New Roman"/>
          <w:sz w:val="20"/>
        </w:rPr>
      </w:pPr>
      <w:r>
        <w:rPr>
          <w:rFonts w:ascii="Times New Roman" w:hAnsi="Times New Roman"/>
          <w:sz w:val="20"/>
        </w:rPr>
        <w:t xml:space="preserve">Shareholders have as many votes as shares that they own or represent at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shall exercise their right to vote at a general meeting of shareholders either in person or through a proxy. Under the Amended IQM Articles, as a condition for participating in a general meeting, a shareholder must give advance notice to the company no later than by a given date stated in the notice of the meeting, which shall not be earlier than 10 calendar days before the meeting. Shareholders have as many votes as shares that they own or represent at the general meeting of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IQM ADSs are listed on The Nasdaq Stock Market LLC (“Nasdaq”) under the symbol “IQMX” and our IQM Shares are listed on Nasdaq Helsinki Ltd (“Nasdaq Helsinki”) under the symbol “IQM” . Our IQM Warrants are listed on Nasdaq under the symbol “IQMXW.”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ordinary shares is Computershare, Inc., the Depositary for our ADSs is The Bank of New York Mellon and the warrant agent for our Warrants is Computershare,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36013_19"/>
      <w:bookmarkEnd w:id="21"/>
      <w:r>
        <w:rPr>
          <w:rFonts w:ascii="Times New Roman" w:hAnsi="Times New Roman"/>
          <w:b/>
          <w:sz w:val="20"/>
        </w:rPr>
        <w:t xml:space="preserve">DESCRIPTION OF AMERICAN DEPOSITARY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Depositary, will register and deliver American Depositary Shares, also referred to as IQM ADSs. Each IQM ADS will represent one IQM Share (or a right to receive one IQM Share) deposited with Skandinaviska Enskilda Banken AB, as custodian for the depositary in Finland. Each IQM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IQM ADSs will be administered, and its principal executive office are located at 240 Greenwich Street, New York, New York 10286. </w:t>
      </w:r>
    </w:p>
    <w:p>
      <w:pPr>
        <w:pStyle w:val="TextBody"/>
        <w:bidi w:val="0"/>
        <w:spacing w:before="240" w:after="0"/>
        <w:jc w:val="left"/>
        <w:rPr>
          <w:rFonts w:ascii="Times New Roman" w:hAnsi="Times New Roman"/>
          <w:sz w:val="20"/>
        </w:rPr>
      </w:pPr>
      <w:r>
        <w:rPr>
          <w:rFonts w:ascii="Times New Roman" w:hAnsi="Times New Roman"/>
          <w:sz w:val="20"/>
        </w:rPr>
        <w:t xml:space="preserve">You may hold IQM ADSs either (A) directly (i) by having an American Depositary Receipt (an “IQM ADR”), which is a certificate evidencing a specific number of IQM ADSs, registered in your name, or (ii) by having uncertificated IQM ADSs registered in your name, or (B) indirectly by holding a security entitlement in IQM ADSs through your broker or other financial institution that is a direct or indirect participant in DTC. If you hold IQM ADSs directly, you are a registered IQM ADS holder, also referred to as an ADS holder. This description assumes you are an IQM ADS holder. If you hold the IQM ADSs indirectly, you must rely on the procedures of your broker or other financial institution to assert the rights of IQM ADS holders described in this section. You should consult with your broker or financial institution to find out what those procedures are. </w:t>
      </w:r>
    </w:p>
    <w:p>
      <w:pPr>
        <w:pStyle w:val="TextBody"/>
        <w:bidi w:val="0"/>
        <w:spacing w:before="240" w:after="0"/>
        <w:jc w:val="left"/>
        <w:rPr>
          <w:rFonts w:ascii="Times New Roman" w:hAnsi="Times New Roman"/>
          <w:sz w:val="20"/>
        </w:rPr>
      </w:pPr>
      <w:r>
        <w:rPr>
          <w:rFonts w:ascii="Times New Roman" w:hAnsi="Times New Roman"/>
          <w:sz w:val="20"/>
        </w:rPr>
        <w:t xml:space="preserve">Registered holders of uncertificated IQM ADSs will receive statements from the Depositary confirming their holdings. </w:t>
      </w:r>
    </w:p>
    <w:p>
      <w:pPr>
        <w:pStyle w:val="TextBody"/>
        <w:bidi w:val="0"/>
        <w:spacing w:before="240" w:after="0"/>
        <w:jc w:val="left"/>
        <w:rPr>
          <w:rFonts w:ascii="Times New Roman" w:hAnsi="Times New Roman"/>
          <w:sz w:val="20"/>
        </w:rPr>
      </w:pPr>
      <w:r>
        <w:rPr>
          <w:rFonts w:ascii="Times New Roman" w:hAnsi="Times New Roman"/>
          <w:sz w:val="20"/>
        </w:rPr>
        <w:t xml:space="preserve">As an IQM ADS holder, we will not treat you as one of our shareholders and you will not have shareholder rights. Finnish law governs shareholder rights. The Depositary will be the holder of the shares underlying your IQM ADSs. As a registered holder of IQM ADSs, you will have ADS holder rights. The Deposit Agreement among us, the Depositary, IQM ADS holders and all other persons indirectly or beneficially holding IQM ADSs sets out ADS holder rights as well as the rights and obligations of the Depositary. New York law governs the Deposit Agreement and the ADSs.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of the Deposit Agreement. For more complete information, you should read the entire Deposit Agreement and the form of ADR, which are filed as Exhibit 4.2 and Exhibit 4.3,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will you receive dividends and other 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has agreed to pay or distribute to IQM ADS holders the cash dividends or other distributions it or the custodian receives on shares or other deposited securities, upon payment or deduction of its fees and expenses. You will receive these distributions in proportion to the number of shares your IQM ADSs represent. </w:t>
      </w:r>
    </w:p>
    <w:p>
      <w:pPr>
        <w:pStyle w:val="TextBody"/>
        <w:bidi w:val="0"/>
        <w:spacing w:before="240" w:after="0"/>
        <w:jc w:val="left"/>
        <w:rPr>
          <w:rFonts w:ascii="Times New Roman" w:hAnsi="Times New Roman"/>
          <w:sz w:val="20"/>
        </w:rPr>
      </w:pPr>
      <w:r>
        <w:rPr>
          <w:rFonts w:ascii="Times New Roman" w:hAnsi="Times New Roman"/>
          <w:b/>
          <w:i/>
          <w:sz w:val="20"/>
        </w:rPr>
        <w:t>Cash</w:t>
      </w:r>
      <w:r>
        <w:rPr>
          <w:rFonts w:ascii="Times New Roman" w:hAnsi="Times New Roman"/>
          <w:sz w:val="20"/>
        </w:rPr>
        <w:t xml:space="preserv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IQM ADS holders to whom it is possible to do so. It will hold the foreign currency it cannot convert for the account of the IQM ADS holders who have not been paid. It will not invest the foreign currency, and it will not be liable for any interest.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Shares</w:t>
      </w:r>
      <w:r>
        <w:rPr>
          <w:rFonts w:ascii="Times New Roman" w:hAnsi="Times New Roman"/>
          <w:sz w:val="20"/>
        </w:rPr>
        <w:t xml:space="preserve">. The Depositary may distribute additional IQM ADSs representing any shares we distribute as a dividend or free distribution. The Depositary will only distribute whole IQM ADSs. It will sell shares which would require it to deliver a fraction of an IQM ADS (or IQM ADSs representing those shares) and distribute the net proceeds in the same way as it does with cash. If the Depositary does not distribute additional IQM ADSs, the outstanding IQM ADSs will also represent the new shares. The Depositary may sell a portion of the distributed shares (or IQM ADSs representing those shares) sufficient to pay its fees and expenses in connection with that distribution. </w:t>
      </w:r>
    </w:p>
    <w:p>
      <w:pPr>
        <w:pStyle w:val="TextBody"/>
        <w:bidi w:val="0"/>
        <w:spacing w:before="240" w:after="0"/>
        <w:jc w:val="left"/>
        <w:rPr>
          <w:rFonts w:ascii="Times New Roman" w:hAnsi="Times New Roman"/>
          <w:sz w:val="20"/>
        </w:rPr>
      </w:pPr>
      <w:r>
        <w:rPr>
          <w:rFonts w:ascii="Times New Roman" w:hAnsi="Times New Roman"/>
          <w:b/>
          <w:i/>
          <w:sz w:val="20"/>
        </w:rPr>
        <w:t>Rights to purchase additional shares.</w:t>
      </w:r>
      <w:r>
        <w:rPr>
          <w:rFonts w:ascii="Times New Roman" w:hAnsi="Times New Roman"/>
          <w:sz w:val="20"/>
        </w:rPr>
        <w:t xml:space="preserve"> If we offer holders of our securities any rights to subscribe for additional shares or any other rights, the Depositary may (i) exercise those rights on behalf of IQM ADS holders, (ii) distribute those rights to IQM ADS holders or (iii) sell those rights and distribute the net proceeds to IQM ADS holders, in each case after deduction or upon payment of its fees and expenses. To the extent the Depositary does not do any of those things, it will allow the rights to lapse. </w:t>
      </w:r>
      <w:r>
        <w:rPr>
          <w:rFonts w:ascii="Times New Roman" w:hAnsi="Times New Roman"/>
          <w:i/>
          <w:sz w:val="20"/>
        </w:rPr>
        <w:t>In that case, you will receive no value for them.</w:t>
      </w:r>
      <w:r>
        <w:rPr>
          <w:rFonts w:ascii="Times New Roman" w:hAnsi="Times New Roman"/>
          <w:sz w:val="20"/>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IQM ADSs representing the new shares, to subscribing IQM ADS holders, but only if IQM ADS holders have paid the exercise price to the Depositary. U.S. securities laws may restrict the ability of the Depositary to distribute rights or IQM ADSs or other securities issued on exercise of rights to all or certain IQM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b/>
          <w:i/>
          <w:sz w:val="20"/>
        </w:rPr>
        <w:t>Other Distributions.</w:t>
      </w:r>
      <w:r>
        <w:rPr>
          <w:rFonts w:ascii="Times New Roman" w:hAnsi="Times New Roman"/>
          <w:sz w:val="20"/>
        </w:rPr>
        <w:t xml:space="preserve"> The Depositary will send to IQM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IQM ADSs will also represent the newly distributed property. However, the Depositary is not required to distribute any securities (other than IQM ADSs) to IQM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IQM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is not responsible if it decides that it is unlawful or impractical to make a distribution available to any IQM ADS holders. We have no obligation to register IQM ADSs, shares, rights or other securities under the Securities Act. We also have no obligation to take any other action to permit the distribution of IQM ADSs, shares, rights or anything else to IQM ADS holders. </w:t>
      </w:r>
      <w:r>
        <w:rPr>
          <w:rFonts w:ascii="Times New Roman" w:hAnsi="Times New Roman"/>
          <w:i/>
          <w:sz w:val="20"/>
        </w:rPr>
        <w:t>This means that you may not receive the distributions we make on our shares or any value for them if it is illegal or impractical for us to make them available to you</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Deposit, Withdrawal and Cancellation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are IQM ADSs issued?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deliver IQM ADSs if you or your broker deposits shares or evidence of rights to receive shares with the custodian. Upon payment of its fees and expenses and of any taxes or charges, such as stamp taxes or stock transfer taxes or fees, the Depositary will register the appropriate number of IQM ADSs in the names you request and will deliver the IQM ADSs to or upon the order of the person or persons that made the deposit.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IQM ADS holders withdraw the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IQM ADSs to the Depositary for the purpose of withdrawal. Upon payment of its fees and expenses and of any taxes or charges, such as stamp taxes or stock transfer taxes or fees,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deliver the shares and any other deposited securities underlying the IQM ADSs to the IQM ADS holder or a person the IQM ADS holder designates at the office of the custodian. Or, at your request, risk and expense, the Depositary will deliver the deposited securities at its office, if feasible. However, the Depositary is not required to accept surrender of IQM ADSs to the extent it would require delivery of a fraction of a deposited share or other security. The Depositary may charge you a fee and its expenses for instructing the custodian regarding delivery of deposited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can IQM ADSs be cancelled by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cancel IQM ADSs if there are no underlying deposited securities, or those deposited securities have become apparently worthless or to the extent there are insufficient underlying deposited securities because of an increase in the number of shares represented by one IQM 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do IQM ADS holders interchange between certificated ADSs and uncertificated ADSs?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IQM ADR to the Depositary for the purpose of exchanging your IQM ADR for uncertificated IQM ADSs. The Depositary will cancel that IQM ADR and will send to the IQM ADS holder a statement confirming that the IQM ADS holder is the registered holder of uncertificated ADSs. Upon receipt by the Depositary of a proper instruction from a registered holder of uncertificated IQM ADSs requesting the exchange of uncertificated IQM ADSs for certificated IQM ADSs, the Depositary will execute and deliver to the IQM ADS holder an IQM ADR evidencing those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do you vote? </w:t>
      </w:r>
    </w:p>
    <w:p>
      <w:pPr>
        <w:pStyle w:val="TextBody"/>
        <w:bidi w:val="0"/>
        <w:spacing w:before="120" w:after="0"/>
        <w:jc w:val="left"/>
        <w:rPr>
          <w:rFonts w:ascii="Times New Roman" w:hAnsi="Times New Roman"/>
          <w:sz w:val="20"/>
        </w:rPr>
      </w:pPr>
      <w:r>
        <w:rPr>
          <w:rFonts w:ascii="Times New Roman" w:hAnsi="Times New Roman"/>
          <w:sz w:val="20"/>
        </w:rPr>
        <w:t xml:space="preserve">IQM ADS holders may instruct the Depositary how to vote the number of deposited shares their IQM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IQM ADS holders may instruct the Depositary how to vote. For instructions to be valid, they must reach the Depositary by a date set by the Depositary . The Depositary will try, as far as practical, subject to the laws of Finland and the provisions of our articles of association or similar documents, to vote or to have its agents vote the deposited shares as instructed by IQM ADS holders. If we do not request the Depositary to solicit your voting instructions, you can still send voting instructions, and, in that case, the Depositary may try to vote as you instruct, but it is not required to do so. </w:t>
      </w:r>
    </w:p>
    <w:p>
      <w:pPr>
        <w:pStyle w:val="TextBody"/>
        <w:bidi w:val="0"/>
        <w:spacing w:before="240" w:after="0"/>
        <w:jc w:val="left"/>
        <w:rPr>
          <w:rFonts w:ascii="Times New Roman" w:hAnsi="Times New Roman"/>
          <w:i/>
          <w:sz w:val="20"/>
        </w:rPr>
      </w:pPr>
      <w:r>
        <w:rPr>
          <w:rFonts w:ascii="Times New Roman" w:hAnsi="Times New Roman"/>
          <w:i/>
          <w:sz w:val="20"/>
        </w:rPr>
        <w:t xml:space="preserve">Except by instructing the Depositary as described above, you will not be able to exercise voting rights unless you surrender your IQM ADSs and withdraw the shares. However, you may not know about the meeting enough in advance to withdraw the shares. In any event, the Depositary will not exercise any discretion in voting deposited securities and it will only vote or attempt to vote as instructed.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you will receive the voting materials in time to ensure that you can instruct the Depositary to vote the shares represented by your IQM ADSs. In addition, the Depositary and its agents are not responsible for failing to carry out voting instructions or for the manner of carrying out voting instructions. </w:t>
      </w:r>
      <w:r>
        <w:rPr>
          <w:rFonts w:ascii="Times New Roman" w:hAnsi="Times New Roman"/>
          <w:i/>
          <w:sz w:val="20"/>
        </w:rPr>
        <w:t>This means that you may not be able to exercise voting rights and there may be nothing you can do if the shares represented by your IQM ADSs are not voted as you requested.</w:t>
      </w:r>
    </w:p>
    <w:p>
      <w:pPr>
        <w:pStyle w:val="TextBody"/>
        <w:bidi w:val="0"/>
        <w:spacing w:before="240" w:after="0"/>
        <w:jc w:val="left"/>
        <w:rPr>
          <w:rFonts w:ascii="Times New Roman" w:hAnsi="Times New Roman"/>
          <w:sz w:val="20"/>
        </w:rPr>
      </w:pPr>
      <w:r>
        <w:rPr>
          <w:rFonts w:ascii="Times New Roman" w:hAnsi="Times New Roman"/>
          <w:sz w:val="20"/>
        </w:rPr>
        <w:t xml:space="preserve">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0"/>
              <w:jc w:val="left"/>
              <w:rPr>
                <w:rFonts w:ascii="Times New Roman" w:hAnsi="Times New Roman"/>
                <w:b/>
                <w:i/>
                <w:sz w:val="16"/>
              </w:rPr>
            </w:pPr>
            <w:r>
              <w:rPr>
                <w:rFonts w:ascii="Times New Roman" w:hAnsi="Times New Roman"/>
                <w:b/>
                <w:i/>
                <w:sz w:val="16"/>
              </w:rPr>
              <w:t xml:space="preserve">Holders or persons depositing or withdrawing shares, surrendering </w:t>
              <w:br/>
              <w:t xml:space="preserve">IQM ADSs, or to whom or from whom IQM ADSs are delivered or </w:t>
              <w:br/>
              <w:t>cancelled,</w:t>
            </w:r>
          </w:p>
          <w:p>
            <w:pPr>
              <w:pStyle w:val="TableContents"/>
              <w:pBdr>
                <w:bottom w:val="single" w:sz="8" w:space="1" w:color="000000"/>
              </w:pBdr>
              <w:bidi w:val="0"/>
              <w:spacing w:before="0" w:after="20"/>
              <w:jc w:val="left"/>
              <w:rPr>
                <w:rFonts w:ascii="Times New Roman" w:hAnsi="Times New Roman"/>
                <w:b/>
                <w:i/>
                <w:sz w:val="16"/>
              </w:rPr>
            </w:pPr>
            <w:r>
              <w:rPr>
                <w:rFonts w:ascii="Times New Roman" w:hAnsi="Times New Roman"/>
                <w:b/>
                <w:i/>
                <w:sz w:val="16"/>
              </w:rPr>
              <w:t>must pay:</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For:</w:t>
            </w:r>
          </w:p>
        </w:tc>
      </w:tr>
      <w:tr>
        <w:trPr/>
        <w:tc>
          <w:tcPr>
            <w:tcW w:w="5205" w:type="dxa"/>
            <w:tcBorders/>
          </w:tcPr>
          <w:p>
            <w:pPr>
              <w:pStyle w:val="TableContents"/>
              <w:bidi w:val="0"/>
              <w:spacing w:before="0" w:after="283"/>
              <w:jc w:val="left"/>
              <w:rPr/>
            </w:pPr>
            <w:r>
              <w:rPr/>
              <w:t>$10.00 (or less) per 100 IQM ADSs (or portion of 100 IQM ADSs)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Issuance of IQM ADSs, including issuances resulting from a distribution of shares or rights or other property or in relation to a change in the number of shares represented by IQM ADSs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Surrender of IQM ADSs for the purpose of withdrawal or cancellation of IQM ADSs, including if the Deposit Agreement terminates or in relation to a change in the number of shares represented by ADSs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$.10 (or less) per IQM ADS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cash distribution to IQM ADS 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 fee equivalent to the fee that would be payable if securities distributed to you had been shares and the shares had been deposited for issuance of IQM ADSs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Distribution of securities distributed to holders of deposited securities (including rights) that are distributed by the Depositary to IQM ADS 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Fees assessed from time to time, but not exceeding $.10 per IQM ADS during any calendar year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Depositary services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Registration or transfer fees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Transfer and registration of shares on our share register to or from the name of the Depositary or its agent when you deposit or withdraw shares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Expenses of the Depositary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Cable (including SWIFT) and facsimile transmissions (when expressly provided in the Deposit Agreement)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Converting foreign currency to U.S. dollars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Taxes and other governmental charges the Depositary or the custodian has to pay on any IQM ADSs or shares underlying IQM ADSs, such as stock transfer taxes, stamp duty or withholding taxes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As necessary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Any charges incurred by the Depositary or its agents for servicing the deposited securities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As necessary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collects its fees for delivery and surrender of IQM ADSs directly from investors depositing shares or surrendering IQM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fees for Depositary services by deduction from cash distributions or by directly billing investors or by charging the book-entry system accounts of participants acting for them. While aggregate fees for Depositary services will not exceed $.10 per IQM ADS in a calendar year, an investor may be charged more than one such fee in a consecutive 12-month period. The Depositary may collect any of its fees by deduction from any cash distribution payable (or by selling a portion of securities or other property distributable) to IQM ADS holders that are obligated to pay those fees. The Depositary may generally refuse to provide fee-attracting services until its fees for those services are paid.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Depositary may make payments to us to reimburse us for costs and expenses generally arising out of establishment and maintenance of the ADS program, waive fees and expenses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provided to us by the Depositary or share revenue from the fees collected from IQM ADS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IQM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IQM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be responsible for any taxes or other governmental charges payable on your IQM ADSs or on the deposited securities represented by any of your IQM ADSs. The Depositary may refuse to register any transfer of your IQM ADSs or allow you to withdraw the deposited securities represented by your IQM ADSs until those taxes or other charges are paid. It may apply payments owed to you or sell deposited securities represented by your IQM ADSs to pay any taxes owed and you will remain liable for any deficiency. If the Depositary sells deposited securities, it will, if appropriate, reduce the number of IQM ADSs to reflect the sale and pay to IQM ADS holders any proceeds, or send to IQM ADS holders any property, remaining after it has paid the taxes. </w:t>
      </w:r>
    </w:p>
    <w:p>
      <w:pPr>
        <w:pStyle w:val="TextBody"/>
        <w:bidi w:val="0"/>
        <w:spacing w:before="360" w:after="0"/>
        <w:jc w:val="left"/>
        <w:rPr>
          <w:rFonts w:ascii="Times New Roman" w:hAnsi="Times New Roman"/>
          <w:b/>
          <w:sz w:val="20"/>
        </w:rPr>
      </w:pPr>
      <w:r>
        <w:rPr>
          <w:rFonts w:ascii="Times New Roman" w:hAnsi="Times New Roman"/>
          <w:b/>
          <w:sz w:val="20"/>
        </w:rPr>
        <w:t xml:space="preserve">Tender and Exchange Offers; Redemption, Replacement or Cancellation of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not tender deposited securities in any voluntary tender or exchange offer unless instructed to do so by an IQM ADS holder surrendering IQM ADSs and subject to any conditions or procedures the Depositary may establish. </w:t>
      </w:r>
    </w:p>
    <w:p>
      <w:pPr>
        <w:pStyle w:val="TextBody"/>
        <w:bidi w:val="0"/>
        <w:spacing w:before="240" w:after="0"/>
        <w:jc w:val="left"/>
        <w:rPr>
          <w:rFonts w:ascii="Times New Roman" w:hAnsi="Times New Roman"/>
          <w:sz w:val="20"/>
        </w:rPr>
      </w:pPr>
      <w:r>
        <w:rPr>
          <w:rFonts w:ascii="Times New Roman" w:hAnsi="Times New Roman"/>
          <w:sz w:val="20"/>
        </w:rPr>
        <w:t xml:space="preserve">If deposited securities are redeemed for cash in a transaction that is mandatory for the Depositary as a holder of deposited securities, the Depositary will call for surrender of a corresponding number of IQM ADSs and distribute the net redemption money to the holders of called IQM ADSs upon surrender of those IQM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because those securities could not be distributed to IQM ADS holders or for any other reason, the Depositary may instead sell the replacement securities and distribute the net proceeds upon surrender of the IQM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 replacement of the deposited securities and the Depositary will continue to hold the replacement securities, the Depositary may distribute new IQM ADSs representing the new deposited securities or ask you to surrender your outstanding IQM ADSs in exchange for new IQM ADSs identifying the new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there are no deposited securities underlying IQM ADSs, including if the deposited securities are cancelled, or if the deposited securities underlying IQM ADSs have become apparently worthless, the Depositary may call for surrender of those IQM ADSs or cancel those IQM ADSs upon notice to the IQM ADS holders.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the Deposit Agreement be amended?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amend the Deposit Agreement and the IQM ADRs without your consent for any reason. If an amendment adds or increases fees or charges, except for taxes and other governmental charges or expenses of the Depositary for registration fees, facsimile costs, delivery charges or similar items, or prejudices a substantial right of IQM ADS holders, it will not become effective for outstanding IQM ADSs until 30 days after the Depositary notifies IQM ADS holders of the amendment. </w:t>
      </w:r>
      <w:r>
        <w:rPr>
          <w:rFonts w:ascii="Times New Roman" w:hAnsi="Times New Roman"/>
          <w:i/>
          <w:sz w:val="20"/>
        </w:rPr>
        <w:t>At the time an amendment becomes effective, you are considered, by continuing to hold your IQM ADSs, to agree to the amendment and to be bound by the IQM ADRs and the Deposit Agreement as amended</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may the Deposit Agreement be terminated?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initiate termination of the Deposit Agreement if we instruct it to do so. The Depositary may initiate termination of the Deposit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 days have passed since the Depositary told us it wants to resign but a successor depositary has not been appointed and accepted its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the IQM ADSs from an exchange in the United States on which they were listed and do not list the IQM ADSs on another exchange in the United States or make arrangements for trading of IQM ADSs on the U.S.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our shares from an exchange outside the United States on which they were listed and do not list the shares on another exchange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reason to believe the IQM ADSs have become, or will become, ineligible for registration on Form F-6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appear to be insolvent or enter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 substantially all the value of the deposited securities has been distributed either in cash or in the form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deposited securities underlying the IQM ADSs or the underlying deposited securities have become apparently worthless;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replacement of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Deposit Agreement will terminate, the Depositary will notify IQM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IQM ADS holders that have not surrendered their IQM ADSs. Normally, the Depositary will sell as soon as practicable after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termination date and before the Depositary sells, IQM ADS holders can still surrender their IQM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IQM ADSs or distribute any dividends or other distributions on deposited securities to IQM ADS holders (until they surrender their IQM ADSs) or give any notices or perform any other duties under the Deposit Agreement except as described in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Limits on our Obligations and the Obligations of the Depositary; Limits on Liability to Holders of IQM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expressly limits our obligations and the obligations of the Depositary. It also limits our liability and the liability of the Depositary. We and the Depositary: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only obligated to take the actions specifically set forth in the Deposit Agreement without negligence or bad faith, and the Depositary will not be a fiduciary or have any fiduciary duty to holders of IQM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are or it is prevented or delayed by law or by events or circumstances beyond our or its ability to prevent or counteract with reasonable care or effort from performing our or its obligations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or it exercises discretion permitted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inability of any holder of IQM ADSs to benefit from any distribution on deposited securities that is not made available to holders of IQM ADSs under the terms of the Deposit Agreement, or for any special,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 obligation to become involved in a lawsuit or other proceeding related to the IQM ADSs or the Deposit Agreement on your behalf or on behalf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rely upon any documents we believe or it believes in good faith to be genuine and to have been signed or presented by the proper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acts or omissions of any securities depository, clearing agency or settlement system;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 duty to make any determination or provide any information as to our tax status, or any liability for any tax consequences that may be incurred by IQM ADS holders as a result of owning or holding IQM ADSs or be liable for the inability or failure of an IQM ADS holder to obtain the benefit of a foreign tax credit, reduced rate of withholding or refund of amounts withheld in respect of tax or any other tax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Deposit Agreement, we and the Depositary agree to indemnify each other under certain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Depositary Actions </w:t>
      </w:r>
    </w:p>
    <w:p>
      <w:pPr>
        <w:pStyle w:val="TextBody"/>
        <w:bidi w:val="0"/>
        <w:spacing w:before="120" w:after="0"/>
        <w:jc w:val="left"/>
        <w:rPr>
          <w:rFonts w:ascii="Times New Roman" w:hAnsi="Times New Roman"/>
          <w:sz w:val="20"/>
        </w:rPr>
      </w:pPr>
      <w:r>
        <w:rPr>
          <w:rFonts w:ascii="Times New Roman" w:hAnsi="Times New Roman"/>
          <w:sz w:val="20"/>
        </w:rPr>
        <w:t xml:space="preserve">Before the Depositary will deliver or register a transfer of IQM ADSs, make a distribution on IQM ADSs, or permit withdrawal of shares, the Depositary may require: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stock transfer or other taxes or other governmental charges and transfer or registration fees charged by third parties for the transfer of any shares or other deposited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of the identity and genuineness of any signature or other information it deems necessary;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regulations it may establish, from time to time, consistent with the Deposit Agreement, including presentation of transfer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deliver IQM ADSs or register transfers of IQM ADSs when the transfer books of the Depositary or our transfer books are closed or at any time if the Depositary or we think it advisable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Your Right to Receive the Shares Underlying your IQM ADSs </w:t>
      </w:r>
    </w:p>
    <w:p>
      <w:pPr>
        <w:pStyle w:val="TextBody"/>
        <w:bidi w:val="0"/>
        <w:spacing w:before="120" w:after="0"/>
        <w:jc w:val="left"/>
        <w:rPr>
          <w:rFonts w:ascii="Times New Roman" w:hAnsi="Times New Roman"/>
          <w:sz w:val="20"/>
        </w:rPr>
      </w:pPr>
      <w:r>
        <w:rPr>
          <w:rFonts w:ascii="Times New Roman" w:hAnsi="Times New Roman"/>
          <w:sz w:val="20"/>
        </w:rPr>
        <w:t xml:space="preserve">IQM ADS holders have the right to cancel their IQM ADSs and withdraw the underlying shares at any time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temporary delays arise because: (i) the Depositary has closed its transfer books or we have closed our transfer books; (ii) the transfer of shares is blocked to permit voting at a shareholders’ meeting; or (iii) we are paying a dividend on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you owe money to pay fees, taxes and similar charges;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it is necessary to prohibit withdrawals in order to comply with any laws or governmental regulations that apply to IQM ADSs or to the withdrawal of shares or other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right of withdrawal may not be limited by any other provision of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In the Deposit Agreement, all parties to the Deposit Agreement acknowledge that the Direct Registration System, also referred to as DRS, and Profile Modification System, also referred to as Profile, will apply to the IQM ADSs. DRS is a system administered by DTC that facilitates interchange between registered holding of uncertificated IQM ADSs and holding of security entitlements in IQM ADSs through DTC and a DTC participant. Profile is a feature of DRS that allows a DTC participant, claiming to act on behalf of a registered holder of uncertificated IQM ADSs, to direct the Depositary to register a transfer of those IQM ADSs to DTC or its nominee and to deliver those IQM ADSs to the DTC account of that DTC participant without receipt by the Depositary of prior authorization from the IQM ADS holder to register that transfer.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and in accordance with the arrangements and procedures relating to DRS/Profile, the parties to the Deposit Agreement understand that the Depositary will not determine whether the DTC participant that is claiming to be acting on behalf of an IQM ADS holder in requesting registration of transfer and delivery as described in the paragraph above has the actual authority to act on behalf of the IQM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Inspection of Register of Holders of IQM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IQM ADSs, but not for the purpose of contacting those holders about a matter unrelated to our business or the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Jury Trial Waiver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provides that, to the extent permitted by law, IQM ADS holders waive the right to a jury trial of any claim they may have against us or the Depositary arising out of or relating to our shares, the IQM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w:t>
      </w:r>
    </w:p>
    <w:p>
      <w:pPr>
        <w:pStyle w:val="TextBody"/>
        <w:bidi w:val="0"/>
        <w:spacing w:before="240" w:after="0"/>
        <w:jc w:val="left"/>
        <w:rPr>
          <w:rFonts w:ascii="Times New Roman" w:hAnsi="Times New Roman"/>
          <w:sz w:val="20"/>
        </w:rPr>
      </w:pPr>
      <w:r>
        <w:rPr>
          <w:rFonts w:ascii="Times New Roman" w:hAnsi="Times New Roman"/>
          <w:sz w:val="20"/>
        </w:rPr>
        <w:t xml:space="preserve">You will not, by agreeing to the terms of the Deposit Agreement, be deemed to have waived our or the Depositary’s compliance with U.S. federal securities laws or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36013_20"/>
      <w:bookmarkEnd w:id="22"/>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accompanying footnotes set forth information known to us regarding the actual beneficial ownership of the IQM Shares (including IQM Shares represented by IQM ADSs)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or is expected to be, the beneficial owner of more than 5% of the outstanding IQM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directors and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the Company is based on 189,496,218 IQM Shares (including IQM Shares represented by IQM ADSs) outstanding as of August 3, 2026.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and subject to applicable community property laws, we believe that all persons named in the table below have sole voting and investment power with respect to the IQM Shares beneficially owned by them. To our knowledge, none of the shares beneficially owned by any executive officer or director have been pledged as security. Unless otherwise indicated, the current business address for our executive officers and non-executive directors is Keilaranta 19, FI-02150 Espoo, Finland.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07"/>
        <w:gridCol w:w="164"/>
        <w:gridCol w:w="82"/>
        <w:gridCol w:w="1514"/>
        <w:gridCol w:w="60"/>
        <w:gridCol w:w="164"/>
        <w:gridCol w:w="186"/>
        <w:gridCol w:w="2300"/>
        <w:gridCol w:w="278"/>
      </w:tblGrid>
      <w:tr>
        <w:trPr/>
        <w:tc>
          <w:tcPr>
            <w:tcW w:w="3007"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0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64" w:type="dxa"/>
            <w:tcBorders/>
            <w:vAlign w:val="bottom"/>
          </w:tcPr>
          <w:p>
            <w:pPr>
              <w:pStyle w:val="TableContents"/>
              <w:bidi w:val="0"/>
              <w:spacing w:before="0" w:after="283"/>
              <w:jc w:val="left"/>
              <w:rPr/>
            </w:pPr>
            <w:r>
              <w:rPr/>
              <w:t>  </w:t>
            </w:r>
          </w:p>
        </w:tc>
        <w:tc>
          <w:tcPr>
            <w:tcW w:w="1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 Shares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Voting Power (%)</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Holders:</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5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2300"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Finnish Industry Investment Ltd(1)</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23,816,844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12.6</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MIG GmbH &amp; Co.(2)</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14,160,070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7.5</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EIC Fund SA(3)</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12,501,307</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6.6</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Varma Mutual Pension Insurance Company(4)</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9,427,442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5.0</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b/>
                <w:sz w:val="20"/>
              </w:rPr>
            </w:pPr>
            <w:r>
              <w:rPr>
                <w:rFonts w:ascii="Times New Roman" w:hAnsi="Times New Roman"/>
                <w:b/>
                <w:sz w:val="20"/>
              </w:rPr>
              <w:t>Officers and Directors:</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sz w:val="4"/>
                <w:szCs w:val="4"/>
              </w:rPr>
            </w:pPr>
            <w:r>
              <w:rPr>
                <w:sz w:val="4"/>
                <w:szCs w:val="4"/>
              </w:rPr>
            </w:r>
          </w:p>
        </w:tc>
        <w:tc>
          <w:tcPr>
            <w:tcW w:w="15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230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 Goetz</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5,726,117</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3.0</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Søren Hein</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 Kürschner</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Sierk Poetting(5)</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3,787,378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2.0</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Doll(6)</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8,115,951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4.3</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Hannu Martola</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11,383</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Juho Sarvikas</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Jeff Tuder(7)</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1,297,769</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Barbara Venneman</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11,383</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Officers and Directors (9)</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18,964,981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10.0</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business address of Finnish Industry Investment Ltd is Porkkalankatu 1. Helsinki 00180, Finland.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3,568,275 IQM Shares held by MIG GmbH &amp; Co. Fonds 14 geschlossene Investment-KG, (ii) 3,048,560 IQM Shares held by MIG GmbH &amp; Co. Fonds 10 KG, (iii) 1,845,280 IQM Shares held by MIG GmbH &amp; Co. Fonds 8 KG, (iv) 1,790,984 IQM Shares held by MIG GmbH &amp; Co. Fonds 17 geschlossene Investment-KG, (v) 1,551,910 IQM Shares held by MIG GmbH &amp; Co. Fonds 4 KG, (vi) 1,551,910 IQM Shares held by MIG GmbH &amp; Co. Fonds 6 KG and (vii) 803,151 IQM Shares held by MIG GmbH &amp; Co. Fonds 2 KG. The business address of each of the MIG GmbH &amp; Co Fonds is Ismaniger Str. 102, 81675 Munich, Federal Republic of Germany.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 Domus Management Company S.à r.l. serves as the investment manager of EIC Fund SA. The principal business address of EIC Fund SA is c/o Alter Domus Management Company S.à r.l., 15, Boulevard Friedrich Wilhelm Raiffeisen, L-2411 Luxembourg.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business address of Varma Mutual Pension Insurance Company is Salmisaarenranta 11, FI-00180 Helsinki, Finland.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3,777,378 shares and (ii) 10,000 shares underlying Public Warrants that are immediately exercisable, each held by, or in trust for the benefit of, Tofino GmbH, an entity controlled by Mr. Poetting.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held by Ten Eleven Fund III, L.P. and Ten Eleven Fund III-A, L.P., in both of which Alex Doll is a general partner. Other than in his capacity at Ten Eleven Fund III, L.P. and Ten Eleven Fund III-A, L.P., Alex Doll disclaims beneficial ownership.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752,524 issued and outstanding IQM Shares and (ii) 545,245 Private Placement Warrants that were all distributed on July 1, 2026 to Tremson Capital Management, LLC from RAAQ Sponsor LLC that was the original record holder. Jeff Tuder is the founder and managing member of Tremson Capital Management,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6013_21"/>
      <w:bookmarkEnd w:id="23"/>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Rule 144 of the Securities Act (“Rule 144”) permits the resale of restricted securities without registration under the Securities Act if certain conditions are met. Rule 144 is not available for the resale of restricted securities initially issued by shell companies (other than business combination-related shell companies) or issuers that have been at any time previously a shell company, including us. However, Rule 144 also includes an important exception to this prohibition if the following conditions are met at the time of such resale: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materials required to be filed, as applicable, during the preceding twelve months (or such shorter period as the issuer was required to file such reports and materials), other than Form 8-K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IQM ADSs issued as Merger Consideration to RAAQ Public Shareholders in the Business Combination are freely tradable, except that IQM ADSs received in the Business Combination by persons who are affiliates of ours for purposes of Rule 144 under the Securities Act may be resold by them only in transactions permitted by Rule 144, or as otherwise permitted under the Securities Act. Persons who may be deemed our affiliates generally include individuals or entities that control, are controlled by or are under common control with us and may include our directors and executive officers as well as our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the above conditions have been met and Rule 144 is available, a person that has beneficially owned restricted IQM ADSs for at least one year would be entitled to sell their securities pursuant to Rule 144, provided that such person is not deemed to have been one of RAAQ’s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common stock then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the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under Rule 144, when available, will also be limited by manner of sale provisions and notice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all IQM ADSs issued as Merger Consideration to RAAQ Public Shareholders in the Business Combination are freely tradable without restriction or further registration under the Securities Act, as they were issued pursuant to the registration statement on Form F-4 (Registration No. 333-295867). The 4,375,000 IQM ADSs received by the RAAQ Insiders in the Business Combination and the 14,548,000 IQM ADSs issued to the PIPE Investors in the PIPE Financing are restricted securities under Rule 144, in that they were issued in private transactions not involving a public offering. Such restricted securities are being registered for resale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We expect Rule 144 to be available for the resale of the above-noted restricted securities as long as the conditions set forth in the exceptions listed above are satisfied, although such restricted securities may be sold sooner to the extent they have been registered on a registration statement that has been declared effective by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Lock-Up Agreements and Market Standoff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Business Combination Agreement, IQM, RAAQ and certain shareholders of IQM entered into shareholder lock-up agreements (each, an “IQM Shareholder Lock-up Agreement”), pursuant to which each such shareholder of IQM agreed, among other things, (a) during the period beginning on the date of the IQM Shareholder Lock-up Agreement and ending upon the termination of the IQM Shareholder Lock-up Agreement, not to Transfer (as defined in the IQM Shareholder Lockup Agreement) any shares of IQM currently held by it or received by it after the date of the IQM Shareholder Lock-up Agreement and during the term of the IQM Shareholder Lock-up Agreement (collectively, the “Subject Shares”); and (b) during the period beginning on the date of the IQM Shareholder Lock-up Agreement and ending on the earlier of (x) one year after the Closing and (y) subsequent to the Closing, (A) the date on which the last sale price of IQM ADSs equals or exceeds $12.00 per IQM ADS for 20 trading days within any 30 trading day period commencing at least 150 days after the Closing, or (B) the date on which IQM completes a liquidation, merger, share exchange, reorganization or other similar change-of-control transaction (such period, the “Lock-Up Period”), to subject any Subject Shares held by the shareholder or issued to the shareholder in connection with the Business Combination (including, as applicable, IQM ADSs), other than any Subject Shares issued to the shareholder in the PIPE Financing (the “Locked-Up Securities”) to certain transfer restrictions, in each case subject to customary permitted transfers. </w:t>
      </w:r>
    </w:p>
    <w:p>
      <w:pPr>
        <w:pStyle w:val="TextBody"/>
        <w:bidi w:val="0"/>
        <w:spacing w:before="360" w:after="0"/>
        <w:jc w:val="left"/>
        <w:rPr>
          <w:rFonts w:ascii="Times New Roman" w:hAnsi="Times New Roman"/>
          <w:b/>
          <w:sz w:val="20"/>
        </w:rPr>
      </w:pPr>
      <w:r>
        <w:rPr>
          <w:rFonts w:ascii="Times New Roman" w:hAnsi="Times New Roman"/>
          <w:b/>
          <w:sz w:val="20"/>
        </w:rPr>
        <w:t xml:space="preserve">Resale Under Finnish and EU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The resale of IQM Shares by the Selling Securityholders may be subject to Finnish and EEA securities laws and regulations, depending on, among other things, the jurisdiction and manner in which the resale is effected and the status of the relevant Selling Securityholder. Certain principal considerations are summarised below. This summary is not intended to constitute legal advice and does not purport to be complete. Each Selling Securityholder should consult its own legal advisers before offering or selling any IQM Shares. </w:t>
      </w:r>
    </w:p>
    <w:p>
      <w:pPr>
        <w:pStyle w:val="TextBody"/>
        <w:bidi w:val="0"/>
        <w:spacing w:before="360" w:after="0"/>
        <w:jc w:val="left"/>
        <w:rPr>
          <w:rFonts w:ascii="Times New Roman" w:hAnsi="Times New Roman"/>
          <w:i/>
          <w:sz w:val="20"/>
        </w:rPr>
      </w:pPr>
      <w:r>
        <w:rPr>
          <w:rFonts w:ascii="Times New Roman" w:hAnsi="Times New Roman"/>
          <w:i/>
          <w:sz w:val="20"/>
        </w:rPr>
        <w:t xml:space="preserve">Prospectus Requirements for Resales in Finland and the EEA </w:t>
      </w:r>
    </w:p>
    <w:p>
      <w:pPr>
        <w:pStyle w:val="TextBody"/>
        <w:bidi w:val="0"/>
        <w:spacing w:before="120" w:after="0"/>
        <w:jc w:val="left"/>
        <w:rPr>
          <w:rFonts w:ascii="Times New Roman" w:hAnsi="Times New Roman"/>
          <w:sz w:val="20"/>
        </w:rPr>
      </w:pPr>
      <w:r>
        <w:rPr>
          <w:rFonts w:ascii="Times New Roman" w:hAnsi="Times New Roman"/>
          <w:sz w:val="20"/>
        </w:rPr>
        <w:t xml:space="preserve">Under Article 2(d) of Regulation (EU) 2017/1129, as amended (the “EU Prospectus Regulation”), an “offer of securities to the public” means a communication presenting sufficient information on the terms of the offer and the securities offered to enable an investor to decide to purchase or subscribe for those securities. Under Article 3(1), securities may only be offered to the public in the Union following the publication of a prospectus, unless an exemption applies. Under Article 5, a subsequent resale of securities previously offered pursuant to certain prospectus exemptions is considered a separate offer for these purposes.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IQM Shares for resale pursuant to this prospectus does not, in itself, constitute an offer of securities to the public within the meaning of the EU Prospectus Regulation. Each Selling Securityholder may sell its IQM Shares at such time and in such manner as it may determine, subject to applicable lock-up restrictions. The admission of the IQM Shares to trading on Nasdaq Helsinki does not, in itself, exempt a subsequent public offer of IQM Shares in Finland or another EEA Member State from the prospectus requirements of the EU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Ordinary secondary-market transactions in IQM Shares on Nasdaq Helsinki do not, in themselves, constitute an offer of securities to the public and therefore do not require the publication of a prospectus. However, organised placements or other structured disposals involving a communication to prospective investors may do so. Any resale that does constitute an offer of securities to the public must be made pursuant to an approved prospectus or in reliance on an applicable exemption, including those set out in Article 1(4) of the EU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has not been approved under the EU Prospectus Regulation and may not be relied upon for an offer of IQM Shares to the public in Finland or any other EEA Member State. The validity of the Finnish Prospectus approved by the FIN-FSA on 1 July 2026 is governed by Article 12 of the EU Prospectus Regulation. IQM has not consented to its use by the Selling Securityholders in connection with any resale of IQM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Market Abuse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IQM Shares are subject to Regulation (EU) No 596/2014 on market abuse, as amended (“MAR”). MAR prohibits, among other things, insider dealing and attempted insider dealing, recommending or inducing another person to engage in insider dealing, the unlawful disclosure of inside information and market manipulation and attempted market manipulation in respect of the IQM Shares. </w:t>
      </w:r>
    </w:p>
    <w:p>
      <w:pPr>
        <w:pStyle w:val="TextBody"/>
        <w:bidi w:val="0"/>
        <w:spacing w:before="240" w:after="0"/>
        <w:jc w:val="left"/>
        <w:rPr>
          <w:rFonts w:ascii="Times New Roman" w:hAnsi="Times New Roman"/>
          <w:sz w:val="20"/>
        </w:rPr>
      </w:pPr>
      <w:r>
        <w:rPr>
          <w:rFonts w:ascii="Times New Roman" w:hAnsi="Times New Roman"/>
          <w:sz w:val="20"/>
        </w:rPr>
        <w:t xml:space="preserve">Under Article 19(11) of MAR, a person discharging managerial responsibilities within IQM (a “PDMR”) may not, subject to the exceptions provided in MAR, conduct any transactions on its own account or for the account of a third party, directly or indirectly, relating to the shares or debt instruments of IQM or to derivatives or other financial instruments linked to them during a closed period of 30 calendar days before the announcement of an interim financial report or a year-end report that IQM is required to make public. The closed-period restriction does not apply to a person closely associated with a PDMR solely by virtue of that association, although it applies where the relevant transaction is carried out by the PDMR for the account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PDMRs and persons closely associated with them are required to notify IQM and the FIN-FSA of transactions conducted on their own account relating to shares or debt instruments of IQM or to derivatives or other financial instruments linked to them once the aggregate value of such transactions reaches EUR 20,000 within a calendar year. The threshold is calculated by adding the value of the relevant transactions without netting. </w:t>
      </w:r>
    </w:p>
    <w:p>
      <w:pPr>
        <w:pStyle w:val="TextBody"/>
        <w:bidi w:val="0"/>
        <w:spacing w:before="360" w:after="0"/>
        <w:jc w:val="left"/>
        <w:rPr>
          <w:rFonts w:ascii="Times New Roman" w:hAnsi="Times New Roman"/>
          <w:i/>
          <w:sz w:val="20"/>
        </w:rPr>
      </w:pPr>
      <w:r>
        <w:rPr>
          <w:rFonts w:ascii="Times New Roman" w:hAnsi="Times New Roman"/>
          <w:i/>
          <w:sz w:val="20"/>
        </w:rPr>
        <w:t xml:space="preserve">Major Shareholding Notifications </w:t>
      </w:r>
    </w:p>
    <w:p>
      <w:pPr>
        <w:pStyle w:val="TextBody"/>
        <w:bidi w:val="0"/>
        <w:spacing w:before="120" w:after="0"/>
        <w:jc w:val="left"/>
        <w:rPr>
          <w:rFonts w:ascii="Times New Roman" w:hAnsi="Times New Roman"/>
          <w:sz w:val="20"/>
        </w:rPr>
      </w:pPr>
      <w:r>
        <w:rPr>
          <w:rFonts w:ascii="Times New Roman" w:hAnsi="Times New Roman"/>
          <w:sz w:val="20"/>
        </w:rPr>
        <w:t xml:space="preserve">Under Chapter 9 of the Finnish Securities Markets Act (746/2012, as amended), a shareholder or another person subject to the Finnish major shareholding notification requirements is required to notify IQM and the FIN-FSA when its holding of shares or voting rights in IQM reaches, exceeds or falls below 5%, 10%, 15%, 20%, 25%, 30%, 50%, two-thirds or 90% of the total number of shares or voting rights in IQM. </w:t>
      </w:r>
    </w:p>
    <w:p>
      <w:pPr>
        <w:pStyle w:val="TextBody"/>
        <w:bidi w:val="0"/>
        <w:spacing w:before="240" w:after="0"/>
        <w:jc w:val="left"/>
        <w:rPr>
          <w:rFonts w:ascii="Times New Roman" w:hAnsi="Times New Roman"/>
          <w:sz w:val="20"/>
        </w:rPr>
      </w:pPr>
      <w:r>
        <w:rPr>
          <w:rFonts w:ascii="Times New Roman" w:hAnsi="Times New Roman"/>
          <w:sz w:val="20"/>
        </w:rPr>
        <w:t xml:space="preserve">A notification obligation may arise on the basis of shares or voting rights held directly or indirectly, financial instruments that confer a right to acquire already issued shares carrying voting rights or have a similar economic effect, or the aggregate of such holdings and financial instruments. The notification requirements may apply irrespective of whether a relevant financial instrument is settled physically or in cash. </w:t>
      </w:r>
    </w:p>
    <w:p>
      <w:pPr>
        <w:pStyle w:val="TextBody"/>
        <w:bidi w:val="0"/>
        <w:spacing w:before="240" w:after="0"/>
        <w:jc w:val="left"/>
        <w:rPr>
          <w:rFonts w:ascii="Times New Roman" w:hAnsi="Times New Roman"/>
          <w:sz w:val="20"/>
        </w:rPr>
      </w:pPr>
      <w:r>
        <w:rPr>
          <w:rFonts w:ascii="Times New Roman" w:hAnsi="Times New Roman"/>
          <w:sz w:val="20"/>
        </w:rPr>
        <w:t xml:space="preserve">A major shareholding notification must be made without undue delay and no later than the trading day following the date on which the person learned, or should have learned, of the acquisition, disposal or other event resulting in a notification threshold being reached, exceeded or fallen below. </w:t>
      </w:r>
    </w:p>
    <w:p>
      <w:pPr>
        <w:pStyle w:val="TextBody"/>
        <w:bidi w:val="0"/>
        <w:spacing w:before="360" w:after="0"/>
        <w:jc w:val="left"/>
        <w:rPr>
          <w:rFonts w:ascii="Times New Roman" w:hAnsi="Times New Roman"/>
          <w:i/>
          <w:sz w:val="20"/>
        </w:rPr>
      </w:pPr>
      <w:r>
        <w:rPr>
          <w:rFonts w:ascii="Times New Roman" w:hAnsi="Times New Roman"/>
          <w:i/>
          <w:sz w:val="20"/>
        </w:rPr>
        <w:t xml:space="preserve">Contractual Lock-Up Restrictions </w:t>
      </w:r>
    </w:p>
    <w:p>
      <w:pPr>
        <w:pStyle w:val="TextBody"/>
        <w:bidi w:val="0"/>
        <w:spacing w:before="120" w:after="0"/>
        <w:jc w:val="left"/>
        <w:rPr>
          <w:rFonts w:ascii="Times New Roman" w:hAnsi="Times New Roman"/>
          <w:sz w:val="20"/>
        </w:rPr>
      </w:pPr>
      <w:r>
        <w:rPr>
          <w:rFonts w:ascii="Times New Roman" w:hAnsi="Times New Roman"/>
          <w:sz w:val="20"/>
        </w:rPr>
        <w:t xml:space="preserve">Certain Selling Securityholders are subject to contractual lock-up restrictions. A transfer of IQM Shares in breach of an applicable lock-up agreement may constitute a breach of contract and result in the contractual remedies provided for in the relevant agreement. Unless separate transfer-blocking or similar arrangements have been implemented in respect of the relevant IQM Shares, the contractual lock-up restrictions do not necessarily prevent a transfer from being effected or settled through the Finnish book-entry securities system.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Registration Rights Agreement and PIPE Subscription Agreements, we agreed that, within 30 calendar days after the Closing, we would file with the SEC a resale shelf registration statement, and we have used and continue to use our commercially reasonable efforts to cause such resale shelf registration statement to become effective by the SEC as soon as reasonably practicable after the initial filing thereof. In certain circumstances, the Holders may demand our assistance with underwritten offerings and block trades. The Holders are entitled to customary piggyback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6013_22"/>
      <w:bookmarkEnd w:id="24"/>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This section is part of the “resale prospectus” pertaining to the registration under the Securities Act of the resale by the Selling Securityholders of (a) an aggregate of 12,511,165 IQM Shares, including IQM Shares represented by IQM ADSs, consisting of: (i) up to 4,298,339 of IQM Shares underlying the PIPE ADSs, (ii) up to 3,905,981 IQM Shares, including IQM Shares represented by IQM ADSs, issuable upon the exercise of the Private Placement Warrants and (iii) up to 4,306,845 RAAQ Resale Shares, including IQM Shares represented by IQM ADSs, and (b) up to 3,905,981 Private Placement Warrants. Each of the Selling Securityholders may sell all, some or none of such IQM Shares, including IQM Shares represented by IQM ADSs, or Private Placement Warrants it holds. We will not receive any proceeds from the sale of IQM Shares, including IQM Shares represented by IQM ADSs by the Selling Securityholders. We will receive proceeds only to the extent that the Private Placement Warrants are exercised for cash. See the section titled “</w:t>
      </w:r>
      <w:r>
        <w:rPr>
          <w:rFonts w:ascii="Times New Roman" w:hAnsi="Times New Roman"/>
          <w:i/>
          <w:sz w:val="20"/>
        </w:rPr>
        <w:t>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table below sets forth the name of the Selling Securityholders and the aggregate number of IQM Shares, including IQM Shares represented by IQM ADSs, or Private Placement Warrants that the Selling Securityholders may offer for sale pursuant to this prospectus. 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 For more information, see “</w:t>
      </w:r>
      <w:r>
        <w:rPr>
          <w:rFonts w:ascii="Times New Roman" w:hAnsi="Times New Roman"/>
          <w:i/>
          <w:sz w:val="20"/>
        </w:rPr>
        <w:t>Beneficial Ownership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Securityholders may, from time to time, sell, transfer or otherwise dispose of all, some or none of the IQM Shares or Private Placement Warrants covered by this prospectus, IQM cannot determine the number of such securities that will be sold, transferred or otherwise disposed of by the Selling Securityholders or the amount or percentage of securities that will be beneficially held by the Selling Securityholders upon termination of the resale. Registration of the resale of IQM Shares and Private Placement Warrants does not mean that such securities necessarily will be offered or sold.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table below,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The information set forth below is based upon information obtained from the Selling Securityholders and upon information in our possession in connection with the Transactions, as applicable. The percentages of IQM Shares owned after the offering by each Selling Securityholder below are based on 189,496,218 IQM Shares outstanding as of August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set forth in the footnotes below, (1) the following table does not include up to 8,624,989 IQM Shares issuable upon exercise of the Public Warrants and (2) the address of each Selling Securityholder is Keilaranta 19, FI-02150 Espoo, Finland. </w:t>
      </w:r>
    </w:p>
    <w:p>
      <w:pPr>
        <w:pStyle w:val="TextBody"/>
        <w:bidi w:val="0"/>
        <w:spacing w:before="0" w:after="0"/>
        <w:jc w:val="left"/>
        <w:rPr/>
      </w:pPr>
      <w:r>
        <w:rPr/>
        <w:t> </w:t>
      </w:r>
    </w:p>
    <w:tbl>
      <w:tblPr>
        <w:tblW w:w="11480" w:type="dxa"/>
        <w:jc w:val="center"/>
        <w:tblInd w:w="0" w:type="dxa"/>
        <w:tblLayout w:type="fixed"/>
        <w:tblCellMar>
          <w:top w:w="0" w:type="dxa"/>
          <w:left w:w="0" w:type="dxa"/>
          <w:bottom w:w="0" w:type="dxa"/>
          <w:right w:w="0" w:type="dxa"/>
        </w:tblCellMar>
      </w:tblPr>
      <w:tblGrid>
        <w:gridCol w:w="1595"/>
        <w:gridCol w:w="60"/>
        <w:gridCol w:w="68"/>
        <w:gridCol w:w="1122"/>
        <w:gridCol w:w="60"/>
        <w:gridCol w:w="60"/>
        <w:gridCol w:w="63"/>
        <w:gridCol w:w="1037"/>
        <w:gridCol w:w="60"/>
        <w:gridCol w:w="60"/>
        <w:gridCol w:w="68"/>
        <w:gridCol w:w="1122"/>
        <w:gridCol w:w="60"/>
        <w:gridCol w:w="60"/>
        <w:gridCol w:w="119"/>
        <w:gridCol w:w="756"/>
        <w:gridCol w:w="275"/>
        <w:gridCol w:w="60"/>
        <w:gridCol w:w="68"/>
        <w:gridCol w:w="1122"/>
        <w:gridCol w:w="60"/>
        <w:gridCol w:w="60"/>
        <w:gridCol w:w="63"/>
        <w:gridCol w:w="1037"/>
        <w:gridCol w:w="60"/>
        <w:gridCol w:w="60"/>
        <w:gridCol w:w="83"/>
        <w:gridCol w:w="1107"/>
        <w:gridCol w:w="60"/>
        <w:gridCol w:w="60"/>
        <w:gridCol w:w="119"/>
        <w:gridCol w:w="756"/>
        <w:gridCol w:w="6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IQM Shares/ADSs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of Selling </w:t>
              <w:br/>
              <w:t>Securityholder</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Prior</w:t>
              <w:br/>
              <w:t>to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w:t>
              <w:br/>
              <w:t>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Prior</w:t>
              <w:br/>
              <w:t>to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w:t>
              <w:br/>
              <w:t>Offering</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0889692 B.C. Ltd.(1)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91,491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91,491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0889703 B.C. Ltd.(2)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41,492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41,492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Abraham Shua(3)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Alyeska Master Fund, L.P.(4)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Angle Skelly(5)</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31,431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31,431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Ann Martin Skelly(6)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31,431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31,431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8,949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Artal Treasury Limited(7)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1,369,212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869,212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B2L Capital Ventures Ltd.(8)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45,746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45,746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BF-2025 Irrevocable Trust(9)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62,239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62,239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21,478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21,478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Blake Garrison Burton(10)</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103,731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Butternut Tree LLC(11)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1,447,769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1,447,769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545,245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545,245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Carmine Capossela(12)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163,444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163,444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46,535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46,535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Celebrating Local Development, LLC(13)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62,862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62,862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17,898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17,898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Changlei Li(14)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16,596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5,727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5,727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Clear Street LLC(15)</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258,750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258,750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258,750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258,750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Cohen &amp; Company Capital Markets, a Division of Cohen &amp; Company Securities, LLC(16)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1,466,250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1,466,250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1,466,250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1,466,250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Context Partners Master Fund, L.P.(17)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566,466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566,466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200,460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200,460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Curtis Weldon(18)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Desjardins(19)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Daniel Wilk(20)</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Kirschner(21)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82,985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82,985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David Lynn Moehring(22)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241,492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241,492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Dieter Alexander Fishbein(23)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16,596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16,596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Endurance X LLC(24)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62,239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62,239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LMR(25)</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1,249,674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414,924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834,750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977,934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143,184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834,750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North Sound(26)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624,477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624,477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42,955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42,955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Ten Eleven(27)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8,115,951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7,615,951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Frank Porcelli(28)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Gerard Michael(29)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090" w:type="dxa"/>
        <w:jc w:val="center"/>
        <w:tblInd w:w="0" w:type="dxa"/>
        <w:tblLayout w:type="fixed"/>
        <w:tblCellMar>
          <w:top w:w="0" w:type="dxa"/>
          <w:left w:w="0" w:type="dxa"/>
          <w:bottom w:w="0" w:type="dxa"/>
          <w:right w:w="0" w:type="dxa"/>
        </w:tblCellMar>
      </w:tblPr>
      <w:tblGrid>
        <w:gridCol w:w="1205"/>
        <w:gridCol w:w="60"/>
        <w:gridCol w:w="68"/>
        <w:gridCol w:w="1122"/>
        <w:gridCol w:w="60"/>
        <w:gridCol w:w="60"/>
        <w:gridCol w:w="63"/>
        <w:gridCol w:w="1037"/>
        <w:gridCol w:w="60"/>
        <w:gridCol w:w="60"/>
        <w:gridCol w:w="68"/>
        <w:gridCol w:w="1122"/>
        <w:gridCol w:w="60"/>
        <w:gridCol w:w="60"/>
        <w:gridCol w:w="119"/>
        <w:gridCol w:w="756"/>
        <w:gridCol w:w="275"/>
        <w:gridCol w:w="60"/>
        <w:gridCol w:w="83"/>
        <w:gridCol w:w="1107"/>
        <w:gridCol w:w="60"/>
        <w:gridCol w:w="60"/>
        <w:gridCol w:w="76"/>
        <w:gridCol w:w="1024"/>
        <w:gridCol w:w="60"/>
        <w:gridCol w:w="60"/>
        <w:gridCol w:w="96"/>
        <w:gridCol w:w="1094"/>
        <w:gridCol w:w="60"/>
        <w:gridCol w:w="60"/>
        <w:gridCol w:w="119"/>
        <w:gridCol w:w="756"/>
        <w:gridCol w:w="60"/>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IQM Shares/ADSs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of Selling </w:t>
              <w:br/>
              <w:t>Securityholder</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Prior</w:t>
              <w:br/>
              <w:t>to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w:t>
              <w:br/>
              <w:t>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Prior</w:t>
              <w:br/>
              <w:t>to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w:t>
              <w:br/>
              <w:t>Offering</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Henry Trapp Boughner(30)</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99,731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99,731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Inspira Financial Trust, LLC, Custodian FBO of Eric J. Hoerdemann (31)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Cornelius Cornell Jr.(32)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34,550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24,550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Jeffrey Sussman(33)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24,895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24,895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8,591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8,591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Jeremy Klaperman(34)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John Wesley Crowther(35)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41,491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41,491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Kane(36)</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50,290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Juho Sarvikas(37)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Justin Curtis Robert Evans(38)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16,671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16,671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Kane 2004 Irrevocable Investment Trust(39)</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103,731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Madison Trust Company FBO William Whamond(40)</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Mark A. Smith(41)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66,492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66,492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Carl Ryan(42)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37,718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37,718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10,739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Mitchell O. Protass(43)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10,058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10,058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Montauk Investment Partners(44)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Nicholas Kukrika(45)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125,726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125,726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Polar Multi-strategy Master Fund(46)</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Raymond J. Iwanowski Jr.(47)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165,970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165,970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57,274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57,274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M. Neal(48)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45,745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45,745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Robert Van Belle(49)</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30,745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30,745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 Caldwell Revocable Living Trust(50)</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103,731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103,731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Santo Venture Capital GmbH(51)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8,161,953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1,133,339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7,028,614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3.7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Collins Bomar(52)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Spectre Capital, LLC(53)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207,461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207,461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71,592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71,592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Joseph Szostak(54)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Stuart Katz(55)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62,239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62,239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Tremson Capital Management, LLC(56)</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1,297,769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1,297,769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545,245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545,245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Vincent Louis Amatulli, Jr.(57)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Wolverine Global Ventures, LLC(58)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881,419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381,419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77,173 RAAQ Resale Shares and (ii) 14,318 IQM Shares, including IQM Shares represented by IQM ADSs, that are issuable upon the exercise of Private Placement Warrants. Number of warrants to purchase IQM Shares being registered for sale hereby represents 14,318 Private Placement Warrants. Landon Downs, as Director of 0889692 B.C. Ltd., may be deemed to have voting and dispositive power over the securities. Mr. Downs served as a member of RAAQ’s advisory board prior to the Closing of the Business Combination. The address of 0889692 B.C. Ltd. is 695 Cains Way, Sooke, BC, V9Z 1C6, Canada.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27,174 RAAQ Resale Shares and (ii) 14,318 IQM Shares, including IQM Shares represented by IQM ADSs, that are issuable upon the exercise of Private Placement Warrants. Number of warrants to purchase IQM Shares being registered for sale hereby represents 14,318 Private Placement Warrants. Andrew Grieve, as Director of 0889703 B.C. Ltd., may be deemed to have voting and dispositive power over the securities. The address of 0889703 B.C. Ltd. is 999 W. Hastings St #1270, Vancouver, BC, V6C 2W2, Canada.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6,794 RAAQ Resale Shares and (ii) 3,580 IQM Shares, including IQM Shares represented by IQM ADSs, that are issuable upon the exercise of Private Placement Warrants. Number of warrants to purchase IQM Shares being registered for sale hereby represents 3,580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1,000,000 IQM Shares underlying PIPE ADSs subscribed for by Alyeska Master Fund, L.P.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securities.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The address of Alyeska Investment Group, L.P. is 77 W. Wacker, Suite 700, Chicago, Illinois 60601.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22,482 RAAQ Resale Shares and (ii) 8,949 IQM Shares, including IQM Shares represented by IQM ADSs, that are issuable upon the exercise of Private Placement Warrants. Number of warrants to purchase IQM Shares being registered for sale hereby represents 8,949 Private Placement Warrants.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22,482 RAAQ Resale Shares and (ii) 8,949 IQM Shares, including IQM Shares represented by IQM ADSs, that are issuable upon the exercise of Private Placement Warrants. Number of warrants to purchase IQM Shares being registered for sale hereby represents 8,949 Private Placement Warrants.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500,000 IQM Shares underlying PIPE ADSs subscribed for by Artal Treasury Limited (“Artal Treasury”). Artal International S.C.A. (“Artal International”), through its Geneva branch, is the sole stockholder of Artal Treasury and may be deemed to beneficially own the securities held by Artal Treasury. The address of Artal Treasury is Suite 1A, First Floor, Frances House, Sir William Place, St Peter Port, Guernsey, and the address of Artal International is Quai du Mont-Blanc 7, 1201 Genève, Switzerland.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38,587 RAAQ Resale Shares and (ii) 7,159 IQM Shares, including IQM Shares represented by IQM ADSs, that are issuable upon the exercise of Private Placement Warrants. Number of warrants to purchase IQM Shares being registered for sale hereby represents 7,159 Private Placement Warrants. The address of B2L Capital Ventures Ltd. is Craigmuir Chambers Road Town VG1110, Tortola, BVI.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40,761 RAAQ Resale Shares and (ii) 21,478 IQM Shares, including IQM Shares represented by IQM ADSs, that are issuable upon the exercise of Private Placement Warrants. Number of warrants to purchase IQM Shares being registered for sale hereby represents 21,478 Private Placement Warrants. Jeffrey L. Neuman, as trustee of the BF-2025 Irrevocable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for beneficial owner Sophie M. Neuman, has sole voting and dispositive power over the securities. The address of BF-2025 Irrevocable Trust is 1172 S Dixie Hwy, Suite 628, Coral Gables, Florida 33146.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67,935 RAAQ Resale Shares and (ii) 35,796 IQM Shares, including IQM Shares represented by IQM ADSs, that are issuable upon the exercise of Private Placement Warrants. Number of warrants to purchase IQM Shares being registered for sale hereby represents 35,796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852,524 RAAQ Resale Shares, (ii) 50,000 IQM Shares underlying PIPE ADSs and (iii) 545,245 IQM Shares, including IQM Shares represented by IQM ADSs, that are issuable upon the exercise of Private Placement Warrants. Number of warrants to purchase IQM Shares being registered for sale hereby represents 545,245 Private Placement Warrants. Peter Ort is the Managing Member of Butternut Tree LLC and has sole voting and dispositive power over the securities. Mr. Ort was Principal Executive Officer and Co-Chairman of RAAQ’s board of directors prior to the Closing of the Business Combination. Due to Mr. Ort’s affiliation with RAAQ, he is deemed to be an “underwriter” within the meaning of Section 2(a)(11) of the Securities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89,930 RAAQ Resale Shares held by Carmine Caposella, (ii) 35,796 IQM Shares, including IQM Shares represented by IQM ADSs, that are issuable upon the exercise of Private Placement Warrants held by Carmine Caposella, (iii) 26,979 RAAQ Resale Shares held by Mountain Meadows Foundation, Inc. and (iv) 10,739 IQM Shares, including IQM Shares represented by IQM ADSs, that are issuable upon the exercise of Private Placement Warrants held by held by Mountain Meadows Foundation, Inc. Number of warrants to purchase IQM Shares being registered for sale hereby represents 35,796 Private Placement Warrants held by Carmine Caposella and 10,739 Private Placement Warrants held by Mountain Meadows Foundation, Inc. Carmine Capossela, as Vice President and Manager of Mountain Meadows Foundation Inc., may be deemed to have voting and dispositive power over the securities held by Mountain Meadows Foundation Inc., and may be deemed to be the beneficial owner of such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44,964 RAAQ Resale Shares and (ii) 17,898 IQM Shares, including IQM Shares represented by IQM ADSs, that are issuable upon the exercise of Private Placement Warrants. Number of warrants to purchase IQM Shares being registered for sale hereby represents 17,898 Private Placement Warrants. Martin O. Skelly is the Manager of Celebrating Local Development, LLC and the Trustee of the Skelly Family Trust Agreement, which is the sole member of Celebrating Local Development, LLC. Mr. Skelly may be deemed to have voting and dispositive power over the securities held by Celebrating Local Development, LLC. The address of Celebrating Local Development, LLC and Mr. Skelly is 91 Bass Creek Lane, Johns Island, South Carolina 29455.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10,869 RAAQ Resale Shares and (ii) 5,727 IQM Shares, including IQM Shares represented by IQM ADSs, that are issuable upon the exercise of Private Placement Warrants. Number of warrants to purchase IQM Shares being registered for sale hereby represents 5,727 Private Placement Warrants.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258,750 IQM Shares, including IQM Shares represented by IQM ADSs, that are issuable upon the exercise of Private Placement Warrants. Number of warrants to purchase IQM Shares being registered for sale hereby represents 258,750 Private Placement Warrants. Clear Street LLC, a Delaware limited liability company (“CS LLC”), is primarily owned by Clear Street Holdings LLC, a Delaware limited liability company (“CSH LLC”). CSH LLC is wholly owned by Clear Street Group Inc., a Delaware corporation (“CSG Inc.”). A majority of the voting power of CSG Inc. is held by Clear Street Global Corp., a U.S. Virgin Islands corporation (“CSGC USVI”). Accordingly, CSH LLC, CSG Inc. and CSGC USVI may be deemed to beneficially own the shares held by CS LLC. The business address of Clear Street LLC is 150 Greenwich Street, 45th Floor, New York, New York 10007.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1,466,250 IQM Shares, including IQM Shares represented by IQM ADSs, that are issuable upon the exercise of Private Placement Warrants. Number of warrants being registered for sale hereby represents 1,466,250 Private Placement Warrants. Cohen &amp; Company Securities, LLC (“CCS”) is the record owner of such securities. Jerry Serowik is Senior Managing Director, Head of Cohen &amp; Company Capital Markets, a division of CCS (“CCM”), and has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investment control over the securities held by CCS. Mr. Serowik disclaims any beneficial ownership of the reported shares other than to the extent of any pecuniary interest he may have therein, directly or indirectly. CCM served as an underwriter for the RAAQ IPO and as a capital markets advisor to RAAQ in connection with the Business Combination. The business address of CCS is 2929 Arch Street, Suite 1703, Philadelphia, Pennsylvania 19104. CCS is a registered broker dealer and may be deemed to be an “underwriter” within the meaning of the Securities Act. CCS has informed the Company that it acquired the shares in the ordinary course and does not have any written or oral agreement or understanding, directly or indirectly, with any person to distribute any IQM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366,006 RAAQ Resale Shares and (ii) 200,460 IQM Shares, including IQM Shares represented by IQM ADSs, that are issuable upon the exercise of Private Placement Warrants. Number of warrants to purchase IQM Shares being registered for sale hereby represents 200,460 Private Placement Warrants. Charles Carnegie, as Chief Investment Officer of Context Capital Management, LLC, the investment adviser of Context Partners Master Fund, L.P., has voting and dispositive control over the securities held by Context Partners Master Fund, L.P., and may be deemed to be the beneficial owner of such securities. The address of Context Partners Master Fund, L.P. is 7724 Girard Ave, Suite 300, La Jolla, California 92037.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10,000 RAAQ Resale Shares, including IQM Shares represented by IQM ADSs. Mr. Weldon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10,000 RAAQ Resale Shares, including IQM Shares represented by IQM ADSs. Mr. Desjardins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13,587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54,348 RAAQ Resale Shares and (ii) 28,637 IQM Shares, including IQM Shares represented by IQM ADSs, that are issuable upon the exercise of Private Placement Warrants. Number of warrants to purchase IQM Shares being registered for sale hereby represents 28,637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227,174 RAAQ Resale Shares and (ii) 14,318 IQM Shares, including IQM Shares represented by IQM ADSs, that are issuable upon the exercise of Private Placement Warrants. Number of warrants to purchase IQM Shares being registered for sale hereby represents 14,318 Private Placement Warrants. Mr. Moehring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10,869 RAAQ Resale Shares and (ii) 5,727 IQM Shares, including IQM Shares represented by IQM ADSs, that are issuable upon the exercise of Private Placement Warrants. Number of warrants to purchase IQM Shares being registered for sale hereby represents 5,727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40,761 RAAQ Resale Shares and (ii) 21,478 IQM Shares, including IQM Shares represented by IQM ADSs, that are issuable upon the exercise of Private Placement Warrants. Number of warrants to purchase IQM Shares being registered for sale hereby represents 21,478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135,870 RAAQ Resale Shares held by LMR CCSA Master Fund Limited (“LMR CCSA”), (ii) 71,592 IQM Shares, including IQM Shares represented by IQM ADSs, that are issuable upon the exercise of Private Placement Warrants held by LMR CCSA, (iii) 135,870 RAAQ Resale Shares held by LMR Multi-Strategy Master Fund Limited (“LMR Multi-Strategy”), and (iv) 71,592 IQM Shares, including IQM Shares represented by IQM ADSs, that are issuable upon the exercise of Private Placement Warrants held by LMR Multi-Strategy. Number of warrants to purchase IQM Shares being registered for sale hereby represents 71,592 Private Placement Warrants held by LMR CCSA and 71,592 Private Placement Warrants held by LMR Multi-Strategy. LMR Partners LLP (“LMR Partners”) is the investment manager of LMR CCSA and LMR Multi-Strategy (together, the “LMR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Securityholders”). Paulina Wolyniec, as portfolio manager at LMR Partners LLP, acting in its capacity as investment manager to the LMR Securityholders, has voting and investment control over the securities held by the LMR Securityholders. The address of these entities and individuals is c/o 9th Floor Devonshire House 1 Mayfair Place, London, United Kingdom, W1J 8AJ.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300,000 IQM Shares underlying PIPE ADSs subscribed for by North Sound Trading, LP, (ii) 281,522 RAAQ Resale Shares held by North Sound Ventures, LP and (iii) 42,955 IQM Shares, including IQM Shares represented by IQM ADSs, that are issuable upon the exercise of Private Placement Warrants held by North Sound Ventures, LP. Number of warrants to purchase IQM Shares being registered for sale hereby represents 42,955 Private Placement Warrants. North Sound Management, Inc. is the general partner of each of North Sound Trading, LP and North Sound Ventures, LP. Brian Miller is the sole shareholder of North Sound Management, Inc. and, accordingly, North Sound Management, Inc. and Mr. Miller may each be deemed to beneficially own the securities held by North Sound Trading, LP and North Sound Ventures, LP. The address of each of the foregoing entities and individual is 115 East Putnam Avenue, Greenwich, Connecticut 06830.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398,650 IQM Shares underlying PIPE ADSs subscribed for by Ten Eleven Fund III, L.P. and (ii) 101,350 IQM Shares underlying PIPE ADSs subscribed for by Ten Eleven Fund III-A, L.P. Ten Eleven Fund III Mid-Tier, L.P. is the general partner of each of Ten Eleven Fund III, L.P. and Ten Eleven Fund III-A, L.P. Ten Eleven Management III, L.L.C. is the general partner of Ten Eleven Fund III Mid-Tier, L.P. Alexander Doll is the Managing Member of Ten Eleven Management III, L.L.C. and currently serves on IQM’s board of directors. Each of the foregoing may be deemed to share voting and dispositive power over the shares. The address of each of the foregoing entities and individual is 345 Lorton Avenue, Suite 401, Burlingame, California 94010.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13,587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27,174 RAAQ Resale Shares and (ii) 14,318 IQM Shares, including IQM Shares represented by IQM ADSs, that are issuable upon the exercise of Private Placement Warrants. Number of warrants to purchase IQM Shares being registered for sale hereby represents 14,318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63,935 RAAQ Resale Shares and (ii) 35,796 IQM Shares, including IQM Shares represented by IQM ADSs, that are issuable upon the exercise of Private Placement Warrants. Number of warrants to purchase IQM Shares being registered for sale hereby represents 35,796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9,783 RAAQ Resale Shares and (ii) 5,155 IQM Shares, including IQM Shares represented by IQM ADSs, that are issuable upon the exercise of Private Placement Warrants. Number of warrants to purchase IQM Shares being registered for sale hereby represents 5,155 Private Placement Warrants. Eric Hoerdemann, the owner of the Inspira Financial Trust, LLC, Custodian FBO of Eric J. Hoerdemann (“Inspira Financial Trust”), has sole voting and dispositive power over the securities. The address of Inspira Financial Trust is 5000 Libbie Mill East Blvd, Apt 434, Richmond, Virginia 23230.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10,000 RAAQ Resale Shares, including IQM Shares represented by IQM ADSs. Mr. Cornell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16,304 RAAQ Resale Shares and (ii) 8,591 IQM Shares, including IQM Shares represented by IQM ADSs, that are issuable upon the exercise of Private Placement Warrants. Number of warrants to purchase IQM Shares being registered for sale hereby represents 8,591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5,435 RAAQ Resale Shares and (ii) 2,864 IQM Shares, including IQM Shares represented by IQM ADSs, that are issuable upon the exercise of Private Placement Warrants. Number of warrants to purchase IQM Shares being registered for sale hereby represents 2,864 Private Placement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27,173 RAAQ Resale Shares and (ii) 14,318 IQM Shares, including IQM Shares represented by IQM ADSs, that are issuable upon the exercise of Private Placement Warrants. Number of warrants to purchase IQM Shares being registered for sale hereby represents 14,318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35,972 RAAQ Resale Shares and (ii) 14,318 IQM Shares, including IQM Shares represented by IQM ADSs, that are issuable upon the exercise of Private Placement Warrants. Number of warrants to purchase IQM Shares being registered for sale hereby represents 14,318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15,000 IQM Shares underlying PIPE ADSs subscribed for by Juho Sarvikas. Mr. Sarvikas currently serves on IQM’s board of directors.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9,512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67,935 RAAQ Resale Shares and (ii) 35,796 IQM Shares, including IQM Shares represented by IQM ADSs, that are issuable upon the exercise of Private Placement Warrants. Number of warrants to purchase IQM Shares being registered for sale hereby represents 35,796 Private Placement Warrants. Donald G. Kane II, the trustee of the Kane 2004 Irrevocable Investment Trust, has sole voting and dispositive power over the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27,174 RAAQ Resale Shares and (ii) 14,318 IQM Shares, including IQM Shares represented by IQM ADSs, that are issuable upon the exercise of Private Placement Warrants. Number of warrants to purchase IQM Shares being registered for sale hereby represents 14,318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52,174 RAAQ Resale Shares and (ii) 14,318 IQM Shares, including IQM Shares represented by IQM ADSs, that are issuable upon the exercise of Private Placement Warrants. Number of warrants to purchase IQM Shares being registered for sale hereby represents 14,318 Private Placement Warrants. Mr. Smith served as a member of RAAQ’s board of directors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26,979 RAAQ Resale Shares and (ii) 10,739 IQM Shares, including IQM Shares represented by IQM ADSs, that are issuable upon the exercise of Private Placement Warrants. Number of warrants to purchase IQM Shares being registered for sale hereby represents 10,739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7,194 RAAQ Resale Shares and (ii) 2,864 IQM Shares, including IQM Shares represented by IQM ADSs, that are issuable upon the exercise of Private Placement Warrants. Number of warrants to purchase IQM Shares being registered for sale hereby represents 2,864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 RAAQ Resale Shares and (ii) 3,580 IQM Shares, including IQM Shares represented by IQM ADSs, that are issuable upon the exercise of Private Placement Warrants. Number of warrants to purchase IQM Shares being registered for sale hereby represents 3,580 Private Placement Warrants. Jeffrey M. Miller, as member of Montauk Investment Partners, may be deemed to have voting and dispositive power over the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89,930 RAAQ Resale Shares and (ii) 35,796 IQM Shares, including IQM Shares represented by IQM ADSs, that are issuable upon the exercise of Private Placement Warrants. Number of warrants to purchase IQM Shares being registered for sale hereby represents 35,796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300,000 IQM Shares underlying PIPE ADSs subscribed for by Polar Multi-Strategy Master Fund. Polar Asset Management Partners Inc. serves as investment adviser to Polar Multi-Strategy Master Fund and has sole voting and investment discretion with respect to the securities held by Polar Multi-Strategy Master Fund. The address of Polar Multi-Strategy Master Fund is c/o Mourant Governance Services (Cayman) Limited, 94 Solaris Avenue, Camana Bay, P.O. Box 1348, Grand Cayman KY1-1108, Cayman Islands. Polar Asset Management Partners Inc. is located at 16 York Street, Suite 2900, Toronto, Ontario M5J 0E6, Canada.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108,696 RAAQ Resale Shares and (ii) 57,274 IQM Shares, including IQM Shares represented by IQM ADSs, that are issuable upon the exercise of Private Placement Warrants. Number of warrants to purchase IQM Shares being registered for sale hereby represents 57,274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38,586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23,586 RAAQ Resale Shares and (ii) 7,159 IQM Shares, including IQM Shares represented by IQM ADSs, that are issuable upon the exercise of Private Placement Warrants. Number of warrants to purchase IQM Shares being registered for sale hereby represents 7,159 Private Placement Warrants. Robert Van Belle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67,935 RAAQ Resale Shares and (ii) 35,796 IQM Shares, including IQM Shares represented by IQM ADSs, that are issuable upon the exercise of Private Placement Warrants. Number of warrants to purchase IQM Shares being registered for sale hereby represents 35,796 Private Placement Warrants. Ryan Caldwell, as trustee of the Ryan F Caldwell Revocable Living Trust, has sole voting and dispositive power over the securities. The trust is a non-managing member and investor in the Sponsor.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1,133,339 IQM Shares underlying PIPE ADSs subscribed for by Santo Venture Capital GmbH. Santo Venture Capital GmbH is wholly owned by Santo Holding (Deutschland) GmbH, which in turn is wholly owned by Athos KG. Each of Christian Förster and Thomas Maier is a Managing Director of Santo Venture Capital GmbH. Each of Santo Venture Capital GmbH, Santo Holding (Deutschland) GmbH, Athos KG, Christian Förster and Thomas Maier may be deemed to have voting and dispositive power over the securities held by Santo Venture Capital GmbH. Each of Christian Förster and Thomas Maier expressly disclaims beneficial ownership of the securities being registered hereby for sale. The address of each of the foregoing persons and entities is Bergfeldstr. 9, 83607 Holzkirchen, Germany.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6,794 RAAQ Resale Shares and (ii) 3,580 IQM Shares, including IQM Shares represented by IQM ADSs, that are issuable upon the exercise of Private Placement Warrants. Number of warrants to purchase IQM Shares being registered for sale hereby represents 3,580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135,869 RAAQ Resale Shares and (ii) 71,592 IQM Shares, including IQM Shares represented by IQM ADSs, that are issuable upon the exercise of Private Placement Warrants. Number of warrants to purchase IQM Shares being registered for sale hereby represents 71,592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13,586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40,761 RAAQ Resale Shares and (ii) 21,478 IQM Shares, including IQM Shares represented by IQM ADSs, that are issuable upon the exercise of Private Placement Warrants. Number of warrants to purchase IQM Shares being registered for sale hereby represents 21,478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752,524 RAAQ Resale Shares and (ii) 545,245 IQM Shares, including IQM Shares represented by IQM ADSs, that are issuable upon the exercise of Private Placement Warrants. Number of warrants to purchase IQM Shares being registered for sale hereby represents 545,245 Private Placement Warrants. Jeffrey M. Tuder is the Managing Member of Tremson Capital Management, LLC and has sole voting and dispositive power over the securities. Mr. Tuder served as Chief Financial Officer and Co-Chairman of RAAQ’s board of directors prior to the Closing of the Business Combination and currently serves on IQM’s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 RAAQ Resale Shares and (ii) 3,580 IQM Shares, including IQM Shares represented by IQM ADSs, that are issuable upon the exercise of Private Placement Warrants. Number of warrants to purchase IQM Shares being registered for sale hereby represents 3,580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500,000 IQM Shares underlying PIPE ADSs subscribed for by Wolverine Global Ventures, LLC. Robert R. Bellick, a member of Wolverine Global Ventures, LLC, may be deemed to have voting and dispositive power over the securities. The address of Wolverine Global Ventures, LLC is 175 West Jackson Boulevard, Suite 200, Chicago, Illinois 60604.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6013_23"/>
      <w:bookmarkEnd w:id="25"/>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Effective upon the Closing, we adopted a related party transactions policy, to be administered by our board of directors. IQM’s related parties refer to persons and entities related to the group companies, as defined in the IFRS accounting standards adopted in accordance with the IAS Regulation referred to in Chapter 1, Section 4 d of the Finnish Accounting Act (1336/1997, as amended). The definition of related parties of IQM is based on the definitions included in the International Accounting Standard – IAS 24 Related Party Disclosures. The Company’s related parties include the members of the Board of Directors, the CEO and the Executive Directors as well as their family members. Related parties also include such companies over which the above-mentioned persons have control. </w:t>
      </w:r>
    </w:p>
    <w:p>
      <w:pPr>
        <w:pStyle w:val="TextBody"/>
        <w:bidi w:val="0"/>
        <w:spacing w:before="360" w:after="0"/>
        <w:jc w:val="left"/>
        <w:rPr>
          <w:rFonts w:ascii="Times New Roman" w:hAnsi="Times New Roman"/>
          <w:b/>
          <w:sz w:val="20"/>
        </w:rPr>
      </w:pPr>
      <w:r>
        <w:rPr>
          <w:rFonts w:ascii="Times New Roman" w:hAnsi="Times New Roman"/>
          <w:b/>
          <w:sz w:val="20"/>
        </w:rPr>
        <w:t xml:space="preserve">IQM Relationships and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Since January 1, 2023, there has not been, nor is there currently proposed, any material transaction or series of similar material transactions to which IQM was or is a party in which any of the members of its board of directors or executive officers, holders that beneficially own, or control or direct, directly or indirectly, more than 10% of any class or series of its outstanding voting securities, any associate or affiliate of any of the foregoing persons, or any member of the immediate family of any of the foregoing persons, had or will have a direct or indirect material interest, other than the director and executive officer compensation and indemnification arrangements described elsewhere in this prospectus and the transactions we describe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Financing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2025 the first tranche of IQM’s Series B financing round was issued, in which 327,571 IQM Series B shares were subscribed as part of a total financing volume of EUR 282,177 thousand. The Series B financing included participation from Tofino GmbH, a fund affiliated with IQM Board member Sierk Poetting, Ten Eleven Fund III, L.P. and Ten Eleven Fund III-A, L.P., which are funds affiliated with IQM Board member Alex Doll, as well as funds affiliated with MIG Capital, at which Søren Hein, our current Deputy Chief Executive Officer and Chief Operating Officer, was a Partner at the time of the financing and is currently a Venture Partner. In connection with the Series B first tranche, we issued 43,092 warrants to certain of the Series B investors, including Ten Eleven Fund III, L.P. and Ten Eleven Fund III-A, L.P.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regarding IQM’s Series B financing, see Note 7 “Equity” in IQM’s financial statements contained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QuIC Membership Fees </w:t>
      </w:r>
    </w:p>
    <w:p>
      <w:pPr>
        <w:pStyle w:val="TextBody"/>
        <w:bidi w:val="0"/>
        <w:spacing w:before="120" w:after="0"/>
        <w:jc w:val="left"/>
        <w:rPr>
          <w:rFonts w:ascii="Times New Roman" w:hAnsi="Times New Roman"/>
          <w:sz w:val="20"/>
        </w:rPr>
      </w:pPr>
      <w:r>
        <w:rPr>
          <w:rFonts w:ascii="Times New Roman" w:hAnsi="Times New Roman"/>
          <w:sz w:val="20"/>
        </w:rPr>
        <w:t xml:space="preserve">From January 1, 2023 to December 31, 2025, IQM paid an aggregate of EUR 19,150 in membership dues in connection with its membership in the European Quantum Industry Consortium (“QuIC”), a non-profit industry organization on which IQM’s Chief Executive Officer, Jan Goetz, is a member of the governing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IQM has entered into employment agreements with certain of its executive officers. These agreements contain customary provisions and representations, including confidentiality, non-competition, non-solicitation and inventions assignment undertakings by the executive officers and non-executive directors. The enforceability of the non-competition provisions may be limited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IQM maintains liability insurance for its board of directors and certain of its officers. Such persons are insured against liability for “wrongful acts,” including breach of duty, breach of trust, neglect, error and misstatement.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above and compensation arrangements described in “Management,” since January 1, 2023, IQM has not engaged in any transactions with related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6013_24"/>
      <w:bookmarkEnd w:id="26"/>
      <w:r>
        <w:rPr>
          <w:rFonts w:ascii="Times New Roman" w:hAnsi="Times New Roman"/>
          <w:b/>
          <w:sz w:val="20"/>
        </w:rPr>
        <w:t xml:space="preserve">MATERIAL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Certain Material Finnish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based on tax laws of Finland, Finnish case law and Finnish tax practice as in effect and applied on the date of this prospectus. Any changes in tax laws and their interpretation may affect taxation and they may also have a retroactive effect. The summary is not exhaustive and does not take into account or deal with the tax laws of any country other than Finland. Prospective investors are advised to consult a tax advisor in order to obtain information about the Finnish or foreign tax consequences resulting from the acquisition, ownership and disposition of the IQM ADSs and IQM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Finnish income tax and transfer tax consequences that may be relevant with respect to the IQM ADSs and IQM Warrants. For Finnish income tax purposes, a holder of an IQM ADS is treated as the beneficial owner of the underlying IQM Share represented by that IQM ADS; accordingly, the description below of the taxation of dividends and capital gains on IQM Shares is included because it applies to holders of IQM ADSs on a look-through basis. The description below is applicable to both Finnish resident and non-resident natural persons and limited liability companies for the purposes of Finnish domestic tax legislation relating to dividend distributions and capital gains. The description does not take into account or discuss tax laws of any country other than Finland and does not address tax considerations applicable to holders of the IQM ADSs or IQM Warrants that may be subject to special tax rules relating to, among others, different restructurings of corporations, controlled foreign corporations, non-business carrying entities, income tax-exempt entities or general or limited partnerships. Furthermore, this description does not address Finnish inheritance or gift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is based primarily on the following acts: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Income Tax Act (1535/1992, as amended, the “Income Tax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Business Income Tax Act (360/1968, as amended, the “Business Income Tax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 on the Taxation of Income of a Person Subject to Limited Tax Liability (627/1978,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Tax Prepayment Act (1118/1996,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Transfer Tax Act (931/1996,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Act on Tax Assessment (1558/1995, as amended, the “Tax Assessment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relevant case law as well as decisions and statements made by the tax authorities in effect and available as at the date of this prospectus have been taken into account. The following description is subject to change, which change could apply retroactively and could, therefore, affect the tax consequences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on Taxation </w:t>
      </w:r>
    </w:p>
    <w:p>
      <w:pPr>
        <w:pStyle w:val="TextBody"/>
        <w:bidi w:val="0"/>
        <w:spacing w:before="120" w:after="0"/>
        <w:jc w:val="left"/>
        <w:rPr>
          <w:rFonts w:ascii="Times New Roman" w:hAnsi="Times New Roman"/>
          <w:sz w:val="20"/>
        </w:rPr>
      </w:pPr>
      <w:r>
        <w:rPr>
          <w:rFonts w:ascii="Times New Roman" w:hAnsi="Times New Roman"/>
          <w:sz w:val="20"/>
        </w:rPr>
        <w:t xml:space="preserve">Residents and non-residents of Finland are treated differently for tax purposes. The worldwide income of persons resident in Finland is subject to taxation in Finland. Non-residents are taxed on income from Finnish sources only. Additionally, Finland imposes taxes on non-residents for income connected with their permanent establishments situated in Finland. However, tax treaties may limit the applicability of Finnish tax legislation and also the right of Finland to tax Finnish source income received by a non-resident. </w:t>
      </w:r>
    </w:p>
    <w:p>
      <w:pPr>
        <w:pStyle w:val="TextBody"/>
        <w:bidi w:val="0"/>
        <w:spacing w:before="240" w:after="0"/>
        <w:jc w:val="left"/>
        <w:rPr>
          <w:rFonts w:ascii="Times New Roman" w:hAnsi="Times New Roman"/>
          <w:sz w:val="20"/>
        </w:rPr>
      </w:pPr>
      <w:r>
        <w:rPr>
          <w:rFonts w:ascii="Times New Roman" w:hAnsi="Times New Roman"/>
          <w:sz w:val="20"/>
        </w:rPr>
        <w:t xml:space="preserve">Generally, a natural person is deemed to be a resident in Finland if such person remains in Finland for a continuous period of more than six months or if the permanent home and abode of such person is in Finland. However, a Finnish national who has moved abroad is considered to be resident in Finland until three years have passed from the end of the year of departure unless it is proven that no substantial ties to Finland existed during the relevant tax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certain Finnish tax consequences relating to the acquisition, ownership, and disposition of the IQM ADSs and IQM Warrants by Finnish resident and non-resident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For Finnish income tax and withholding tax purposes, a holder of an IQM ADS is treated as the beneficial owner of the underlying IQM Share represented by such IQM ADS. Accordingly, references in the following discussion to IQM Shares apply equally to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Dividends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Eighty-five per cent of dividends paid by a listed company to a resident natural person is taxable as capital income, which is taxed at a rate of 30 per cent (34 per cent on the amount that exceeds EUR 30,000 in a calendar year), and the remaining 15 per cent is tax-exempt. </w:t>
      </w:r>
    </w:p>
    <w:p>
      <w:pPr>
        <w:pStyle w:val="TextBody"/>
        <w:bidi w:val="0"/>
        <w:spacing w:before="240" w:after="0"/>
        <w:jc w:val="left"/>
        <w:rPr>
          <w:rFonts w:ascii="Times New Roman" w:hAnsi="Times New Roman"/>
          <w:sz w:val="20"/>
        </w:rPr>
      </w:pPr>
      <w:r>
        <w:rPr>
          <w:rFonts w:ascii="Times New Roman" w:hAnsi="Times New Roman"/>
          <w:sz w:val="20"/>
        </w:rPr>
        <w:t xml:space="preserve">Distribution of dividends by a listed company to resident natural persons is subject to advance tax withholding. At the date of this prospectus, the amount of the advance tax withholding is 25.5 per cent of the amount of dividend paid. The advance tax withheld by the distributing company is credited against the final tax payable by the recipient of the dividend. If a Finnish resident shareholder is holding the assets through a nominee account, the tax is withheld at rate of 50 per cent if a listed company or the custodian closest to the recipient of the dividend does not receive or the custodian cannot deliver to the Finnish Tax Administration the identification information on the recipient of the dividend. </w:t>
      </w:r>
    </w:p>
    <w:p>
      <w:pPr>
        <w:pStyle w:val="TextBody"/>
        <w:bidi w:val="0"/>
        <w:spacing w:before="240" w:after="0"/>
        <w:jc w:val="left"/>
        <w:rPr>
          <w:rFonts w:ascii="Times New Roman" w:hAnsi="Times New Roman"/>
          <w:sz w:val="20"/>
        </w:rPr>
      </w:pPr>
      <w:r>
        <w:rPr>
          <w:rFonts w:ascii="Times New Roman" w:hAnsi="Times New Roman"/>
          <w:sz w:val="20"/>
        </w:rPr>
        <w:t xml:space="preserve">Resident natural persons must review their pre-filled income tax return form to confirm that the amount of dividend income reported is correct. In case the amount of dividend income or withheld tax reported in the pre-filled income tax return form is incorrect, the resident natural persons must correct these amounts in their tax returns and provide the corrected tax returns to the Finnish tax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Taxation of dividends distributed by a listed company depends, among other things, on whether the Finnish company receiving the dividend is a listed company or not.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listed company from another listed company are generally tax-exempt. However, in cases where the underlying assets are included in the investment assets of the shareholder, 75 per cent of the dividend is taxable income while the remaining 25 per cent is tax-exempt. Only banking, insurance and pension institutions may have investment assets.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non-listed Finnish company (i.e., a privately held company) from a listed company are taxable income subject to 20 per cent corporate income tax rate. However, in cases where the privately held company directly owns 10 per cent or more of the share capital of the listed company distributing the dividend, the dividend received on such shares is tax-exempt, provided that the underlying assets are not included in the investment assets of the shareholder. </w:t>
      </w:r>
    </w:p>
    <w:p>
      <w:pPr>
        <w:pStyle w:val="TextBody"/>
        <w:bidi w:val="0"/>
        <w:spacing w:before="240" w:after="0"/>
        <w:jc w:val="left"/>
        <w:rPr>
          <w:rFonts w:ascii="Times New Roman" w:hAnsi="Times New Roman"/>
          <w:sz w:val="20"/>
        </w:rPr>
      </w:pPr>
      <w:r>
        <w:rPr>
          <w:rFonts w:ascii="Times New Roman" w:hAnsi="Times New Roman"/>
          <w:sz w:val="20"/>
        </w:rPr>
        <w:t xml:space="preserve">However, tax is withheld at a rate of 50 per cent on dividends that are paid on nominee-registered shares in case the payor of the dividend or the registered custodian does not receive or cannot provide the Finnish Tax Administration with the final recipient information of the beneficiary recipient referred to in the Act on Tax Assessment, if the dividend recipient is subject to unlimited tax liability in Finland.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As a general rule, non-residents of Finland are subject to Finnish withholding tax on dividends paid by a Finnish company. The withholding tax is withheld by the company distributing the dividend at the time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 payment and no other taxes on the dividend are payable in Finland. Generally, the withholding tax rate is 20 per cent for non-resident corporate entities as income receivers and 30 per cent for all other non-residents unless the shares are held in a nominee account in which case the applicable tax rate may be 35 per cent as set out below. </w:t>
      </w:r>
    </w:p>
    <w:p>
      <w:pPr>
        <w:pStyle w:val="TextBody"/>
        <w:bidi w:val="0"/>
        <w:spacing w:before="240" w:after="0"/>
        <w:jc w:val="left"/>
        <w:rPr>
          <w:rFonts w:ascii="Times New Roman" w:hAnsi="Times New Roman"/>
          <w:sz w:val="20"/>
        </w:rPr>
      </w:pPr>
      <w:r>
        <w:rPr>
          <w:rFonts w:ascii="Times New Roman" w:hAnsi="Times New Roman"/>
          <w:sz w:val="20"/>
        </w:rPr>
        <w:t xml:space="preserve">Finland has entered into double taxation treaties with several countries pursuant to which the withholding tax rate is reduced on dividends paid to persons entitled to the benefits under such treaties. Where the shares are held through direct ownership, the reduced treaty rate is available if the beneficial owner provides the paying company with a valid Finnish tax-at-source card or with its name, date of birth, any other official identifier and address in its country of residence. Where the shares are nominee-registered, the reduced treaty rate is available if the paying company, or an authorised intermediary registered with the Finnish Tax Administration and closest in the custody chain to the beneficial owner, has carefully established the beneficial owner’s country of tax residence and verified that the dividend provisions of the applicable treaty apply. Acceptable evidence includes a Finnish tax-at-source card, a residence certificate issued by the tax authority of the beneficial owner’s country of residence, or a self-declaration from the beneficial owner meeting the requirements set by the Finnish Tax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income tax treaty in force between Finland and the United States (the Convention between the Government of the Republic of Finland and the Government of the United States of America for the Avoidance of Double Taxation and the Prevention of Fiscal Evasion with Respect to Taxes on Income and on Capital, signed on September 21, 1989) (the “Tax Treaty”), dividends paid by IQM to a U.S. tax resident recipient that is entitled to the benefits under the Tax Treaty are generally subject to Finnish withholding tax at a rate of 15 per cent. For a qualifying shareholder that is a company owning directly at least 10 per cent of the voting stock of IQM, the applicable Tax Treaty rate is 5 per cent. Furthermore, dividends may, under certain conditions, be exempted from Finnish withholding taxation if (i) the U.S. resident recipient is a company that has owned shares representing 80 per cent or more of the voting power of IQM for a 12-month period ending on the date on which the entitlement to the dividend is determined, provided that the recipient meets the applicable limitation on benefits requirements set out in the Tax Treaty, or (ii) the recipient is a U.S. resident pension fund that fulfils the criteria set out in the Tax Treaty. In order to benefit from the reduced Tax Treaty rate or exemption at source in respect of dividends paid on nominee-registered IQM Shares (including IQM Shares underlying IQM ADSs), the requirements described below in respect of Authorised Intermediaries must be satisfied; otherwise, the 35 per cent default rate will apply and any excess withholding must be claimed as a refund from the Finnish Tax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In respect of the dividends paid for nominee-registered shares, the tax treaty based withholding tax rate is applied if the payor of the dividend or the custodian closest to the dividend recipient which is registered into the Finnish Tax Administration’s Register of Authorised Intermediaries, as intended in Section 10 d of the Act on the Taxation of Income of a Person Subject to Limited Tax Liability, at the time of dividend distribution has carefully confirmed the state of residence of the dividend recipient and that the tax treaty provisions considering dividends can be applied to the dividend recipient. Instead of the reduced tax treaty rates, a withholding tax rate of 35 per cent is applied to dividends paid on nominee-registered shares if the dividend recipient’s identification information is not provided to the dividend distributor or the custodian and the dividend distribution cannot thus be identified and the payor or the registered intermediary cannot therefore provide the identification information on the dividend recipient to the Finnish Tax Administration in their annual information returns. A withholding tax rate of 30 per cent is applied if the dividend recipient can be identified but there is no certainty on the withholding tax rate applicable to the dividend recipient. However, in this case the withholding tax rate is 20 per cent if the dividend recipient is identified as a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Qualifying Non-Resident Corporate Entities Residing in EU Member States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tax laws, no withholding tax is levied on dividends paid to foreign corporate entities that reside, and are subject to corporate tax, in an EU member state as specified in Article 2 of the Parent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Directive (2011/96/EU, as amended), and that directly hold at least 10 per cent of the capital in the distributing Finnish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Non-Resident Corporate Entities Residing Within the EEA </w:t>
      </w:r>
    </w:p>
    <w:p>
      <w:pPr>
        <w:pStyle w:val="TextBody"/>
        <w:bidi w:val="0"/>
        <w:spacing w:before="120" w:after="0"/>
        <w:jc w:val="left"/>
        <w:rPr>
          <w:rFonts w:ascii="Times New Roman" w:hAnsi="Times New Roman"/>
          <w:sz w:val="20"/>
        </w:rPr>
      </w:pPr>
      <w:r>
        <w:rPr>
          <w:rFonts w:ascii="Times New Roman" w:hAnsi="Times New Roman"/>
          <w:sz w:val="20"/>
        </w:rPr>
        <w:t xml:space="preserve">Dividends paid to certain non-resident corporate entities residing within the EEA are either fully tax-exempt or taxed at a reduced withholding tax rate, depending on how the dividend would be taxed if paid to a corresponding Finnish corporate entity. </w:t>
      </w:r>
    </w:p>
    <w:p>
      <w:pPr>
        <w:pStyle w:val="TextBody"/>
        <w:bidi w:val="0"/>
        <w:spacing w:before="240" w:after="0"/>
        <w:jc w:val="left"/>
        <w:rPr>
          <w:rFonts w:ascii="Times New Roman" w:hAnsi="Times New Roman"/>
          <w:sz w:val="20"/>
        </w:rPr>
      </w:pPr>
      <w:r>
        <w:rPr>
          <w:rFonts w:ascii="Times New Roman" w:hAnsi="Times New Roman"/>
          <w:sz w:val="20"/>
        </w:rPr>
        <w:t xml:space="preserve">In Finland, no withholding tax is levied on dividends paid by a Finnish company to a non-resident company provided that (i) the company receiving the dividend is resident in a country within the EEA; (ii) Council Directive 2011/16/EU on administrative cooperation in the field of taxation and repealing Directive 77/799/EEC (as amended, the “Mutual Assistance Directive”), or an agreement regarding executive assistance and exchange of information in tax matters within the EEA, is applicable to the home country of the recipient of the dividend; (iii) the company receiving the dividend corresponds to a Finnish corporate entity as defined in Section 33d Subsection 4 of the Income Tax Act or in Section 6a of the Business Income Tax Act; (iv) the dividend would be fully tax-exempt if paid to such corresponding Finnish company or entity (see “— </w:t>
      </w:r>
      <w:r>
        <w:rPr>
          <w:rFonts w:ascii="Times New Roman" w:hAnsi="Times New Roman"/>
          <w:i/>
          <w:sz w:val="20"/>
        </w:rPr>
        <w:t>Finnish Limited Liability Companies</w:t>
      </w:r>
      <w:r>
        <w:rPr>
          <w:rFonts w:ascii="Times New Roman" w:hAnsi="Times New Roman"/>
          <w:sz w:val="20"/>
        </w:rPr>
        <w:t xml:space="preserve">” above); and (v) the company receiving the dividend provides evidence (in the form of a certificate issued by the home country’s tax authorities) that the paid withholding tax could not de facto be fully credited in the home country pursuant to the applicable double taxation treaty. </w:t>
      </w:r>
    </w:p>
    <w:p>
      <w:pPr>
        <w:pStyle w:val="TextBody"/>
        <w:bidi w:val="0"/>
        <w:spacing w:before="240" w:after="0"/>
        <w:jc w:val="left"/>
        <w:rPr>
          <w:rFonts w:ascii="Times New Roman" w:hAnsi="Times New Roman"/>
          <w:sz w:val="20"/>
        </w:rPr>
      </w:pPr>
      <w:r>
        <w:rPr>
          <w:rFonts w:ascii="Times New Roman" w:hAnsi="Times New Roman"/>
          <w:sz w:val="20"/>
        </w:rPr>
        <w:t xml:space="preserve">In cases where the dividend received by a foreign company fulfilling requirement set forth in point (iii) above and residing within a country fulfilling the requirements set forth in points (i) and (ii) above would be only partially tax-exempt if paid to a corresponding Finnish entity (see “— </w:t>
      </w:r>
      <w:r>
        <w:rPr>
          <w:rFonts w:ascii="Times New Roman" w:hAnsi="Times New Roman"/>
          <w:i/>
          <w:sz w:val="20"/>
        </w:rPr>
        <w:t>Finnish Limited Liability Companies</w:t>
      </w:r>
      <w:r>
        <w:rPr>
          <w:rFonts w:ascii="Times New Roman" w:hAnsi="Times New Roman"/>
          <w:sz w:val="20"/>
        </w:rPr>
        <w:t xml:space="preserve">” above), the Finnish withholding tax is levied (see “— </w:t>
      </w:r>
      <w:r>
        <w:rPr>
          <w:rFonts w:ascii="Times New Roman" w:hAnsi="Times New Roman"/>
          <w:i/>
          <w:sz w:val="20"/>
        </w:rPr>
        <w:t>Non-Residents</w:t>
      </w:r>
      <w:r>
        <w:rPr>
          <w:rFonts w:ascii="Times New Roman" w:hAnsi="Times New Roman"/>
          <w:sz w:val="20"/>
        </w:rPr>
        <w:t xml:space="preserve">” above), but the withholding tax rate in respect of such dividends is reduced to 15 per cent (instead of 20 per cent). Therefore, exclusive of entities defined in the Parent Subsidiary Directive that qualify for a tax exemption through the direct ownership of at least 10 per cent of the capital in the distributing Finnish company (see “— </w:t>
      </w:r>
      <w:r>
        <w:rPr>
          <w:rFonts w:ascii="Times New Roman" w:hAnsi="Times New Roman"/>
          <w:i/>
          <w:sz w:val="20"/>
        </w:rPr>
        <w:t>Certain Qualifying Non-Resident Corporate Entities Residing in EU Member States</w:t>
      </w:r>
      <w:r>
        <w:rPr>
          <w:rFonts w:ascii="Times New Roman" w:hAnsi="Times New Roman"/>
          <w:sz w:val="20"/>
        </w:rPr>
        <w:t xml:space="preserve">” above), the 15 per cent withholding tax rate is applicable to dividends paid to non-resident companies fulfilling the requirement set forth in point (iii) above and residing within a country fulfilling the requirements set forth in points (i) and (ii) above if the underlying shares in the Finnish company distributing the dividend belong to the investment assets of the recipient company, or if the recipient is not a listed company. Depending on the applicable double taxation treaty, the applicable withholding tax rate can also be less than 15 per cent (see “— </w:t>
      </w:r>
      <w:r>
        <w:rPr>
          <w:rFonts w:ascii="Times New Roman" w:hAnsi="Times New Roman"/>
          <w:i/>
          <w:sz w:val="20"/>
        </w:rPr>
        <w:t>Non-Residents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Non-Resident Natural Persons Residing Within the EEA </w:t>
      </w:r>
    </w:p>
    <w:p>
      <w:pPr>
        <w:pStyle w:val="TextBody"/>
        <w:bidi w:val="0"/>
        <w:spacing w:before="120" w:after="0"/>
        <w:jc w:val="left"/>
        <w:rPr>
          <w:rFonts w:ascii="Times New Roman" w:hAnsi="Times New Roman"/>
          <w:sz w:val="20"/>
        </w:rPr>
      </w:pPr>
      <w:r>
        <w:rPr>
          <w:rFonts w:ascii="Times New Roman" w:hAnsi="Times New Roman"/>
          <w:sz w:val="20"/>
        </w:rPr>
        <w:t xml:space="preserve">Instead of being subject to withholding tax as described under “— </w:t>
      </w:r>
      <w:r>
        <w:rPr>
          <w:rFonts w:ascii="Times New Roman" w:hAnsi="Times New Roman"/>
          <w:i/>
          <w:sz w:val="20"/>
        </w:rPr>
        <w:t>Non-Residents</w:t>
      </w:r>
      <w:r>
        <w:rPr>
          <w:rFonts w:ascii="Times New Roman" w:hAnsi="Times New Roman"/>
          <w:sz w:val="20"/>
        </w:rPr>
        <w:t xml:space="preserve">” above, dividends paid to non-resident natural persons can be, upon request by such non-resident natural person, taxed pursuant to the Tax Assessment Act (i.e., taxed similarly to dividends paid to residents of Finland (see “— </w:t>
      </w:r>
      <w:r>
        <w:rPr>
          <w:rFonts w:ascii="Times New Roman" w:hAnsi="Times New Roman"/>
          <w:i/>
          <w:sz w:val="20"/>
        </w:rPr>
        <w:t>Resident Natural Persons</w:t>
      </w:r>
      <w:r>
        <w:rPr>
          <w:rFonts w:ascii="Times New Roman" w:hAnsi="Times New Roman"/>
          <w:sz w:val="20"/>
        </w:rPr>
        <w:t xml:space="preserve">” above)), provided, however, that (i) the person receiving the dividend is resident in a country within the EEA; (ii) the Mutual Assistance Directive, or an agreement regarding executive assistance and exchange of information in tax matters within the EEA, is applicable to the home country of the recipient of the dividend; and (iii) the recipient of the dividend provides evidence (in the form of a certificate issued by the home country’s tax authorities) that any paid withholding tax could not de facto be fully credited in the home country pursuant to an applicable double taxation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Capital Gains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A capital gain or loss arising from the sale of shares that do not belong to the business activity of the shareholder is taxable in Finland as a capital gain or deductible as a capital loss for resident natural persons.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date of this prospectus, capital gains are taxed at a rate of 30 per cent (34 per cent on the amount that exceeds EUR 30,000 in a calendar year). If the shares belong to the business activity (business income source) of the seller, any gain arising from the sale is deemed to be business income of the seller, which will be divided according to the Income Tax Act to be taxed as earned income at a progressive tax rate and capital income at a rate of 30 per cent (34 per cent on the amount that exceeds EUR 30,000 in a calendar year). </w:t>
      </w:r>
    </w:p>
    <w:p>
      <w:pPr>
        <w:pStyle w:val="TextBody"/>
        <w:bidi w:val="0"/>
        <w:spacing w:before="240" w:after="0"/>
        <w:jc w:val="left"/>
        <w:rPr>
          <w:rFonts w:ascii="Times New Roman" w:hAnsi="Times New Roman"/>
          <w:sz w:val="20"/>
        </w:rPr>
      </w:pPr>
      <w:r>
        <w:rPr>
          <w:rFonts w:ascii="Times New Roman" w:hAnsi="Times New Roman"/>
          <w:sz w:val="20"/>
        </w:rPr>
        <w:t xml:space="preserve">Capital loss arising from the sale of shares that do not belong to the business activity of the shareholder is primarily deductible from the resident natural person’s capital gains and secondarily from other capital income of the same year and during the following five tax years. Capital losses are not taken into account when calculating the capital income deficit for the tax year, and they do not increase the amount of the deficit credit that is deductible from the taxes under the deficit crediting system. The deductibility of losses related to securities included in the seller’s business activity is determined as described under “— </w:t>
      </w:r>
      <w:r>
        <w:rPr>
          <w:rFonts w:ascii="Times New Roman" w:hAnsi="Times New Roman"/>
          <w:i/>
          <w:sz w:val="20"/>
        </w:rPr>
        <w:t>Finnish Limited Liability Companies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capital gains arising from the sale of assets that do not belong to the business activity of the shareholder are exempt from tax provided that the proceeds of all assets sold by the resident natural person during the tax year do not, in aggregate, exceed EUR 1,000 (exclusive of proceeds from the sale of any assets that are tax-exempt pursuant to Finnish tax laws). Correspondingly, capital losses are not tax deductible if the acquisition cost of all assets sold during the tax year does not, in aggregate, exceed EUR 1,000 (exclusive of proceeds from the sale of any assets that are tax-exempt pursuant to Finnish tax laws) and also the proceeds of all assets sold by the resident natural person during the tax year do not, in aggregate, exceed EUR 1,000. </w:t>
      </w:r>
    </w:p>
    <w:p>
      <w:pPr>
        <w:pStyle w:val="TextBody"/>
        <w:bidi w:val="0"/>
        <w:spacing w:before="240" w:after="0"/>
        <w:jc w:val="left"/>
        <w:rPr>
          <w:rFonts w:ascii="Times New Roman" w:hAnsi="Times New Roman"/>
          <w:sz w:val="20"/>
        </w:rPr>
      </w:pPr>
      <w:r>
        <w:rPr>
          <w:rFonts w:ascii="Times New Roman" w:hAnsi="Times New Roman"/>
          <w:sz w:val="20"/>
        </w:rPr>
        <w:t xml:space="preserve">Any capital gain or loss is calculated by deducting the original acquisition cost and sales related expenses from the sales price. Alternatively, a natural person holding shares that are not included in the business activity of the shareholder may, instead of deducting the actual acquisition costs, choose to apply a presumptive acquisition cost, which is equal to 20 per cent of the sales price, or in the case of shares which have been held for at least ten years, 40 per cent of the sales price. If the presumptive acquisition cost is used instead of the actual acquisition cost, any selling expenses are deemed to be included therein and cannot be deducted separately from the sales price. </w:t>
      </w:r>
    </w:p>
    <w:p>
      <w:pPr>
        <w:pStyle w:val="TextBody"/>
        <w:bidi w:val="0"/>
        <w:spacing w:before="240" w:after="0"/>
        <w:jc w:val="left"/>
        <w:rPr>
          <w:rFonts w:ascii="Times New Roman" w:hAnsi="Times New Roman"/>
          <w:sz w:val="20"/>
        </w:rPr>
      </w:pPr>
      <w:r>
        <w:rPr>
          <w:rFonts w:ascii="Times New Roman" w:hAnsi="Times New Roman"/>
          <w:sz w:val="20"/>
        </w:rPr>
        <w:t xml:space="preserve">Resident natural persons must report information relating to the sale of the IQM Shares on their income tax return of the tax year concerned.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applies only to Finnish limited liability companies that are taxed on the basis of the Business Income Tax Act. As a general rule, any capital gains from the sale of shares are regarded as taxable income of a Finnish resident company with the current general corporate tax rate of 20 per cent. </w:t>
      </w:r>
    </w:p>
    <w:p>
      <w:pPr>
        <w:pStyle w:val="TextBody"/>
        <w:bidi w:val="0"/>
        <w:spacing w:before="240" w:after="0"/>
        <w:jc w:val="left"/>
        <w:rPr>
          <w:rFonts w:ascii="Times New Roman" w:hAnsi="Times New Roman"/>
          <w:sz w:val="20"/>
        </w:rPr>
      </w:pPr>
      <w:r>
        <w:rPr>
          <w:rFonts w:ascii="Times New Roman" w:hAnsi="Times New Roman"/>
          <w:sz w:val="20"/>
        </w:rPr>
        <w:t xml:space="preserve">The assets of Finnish resident companies which are taxed according to the Business Income Tax Act may be classified as fixed assets, current assets, investment assets, financial assets, or other assets of a Finnish company (however, only financial, insurance and pension institutions may have investment assets as referred to in this context). The taxation of a disposal of shares and loss of value varies according to the asset type for which the shares qualify. </w:t>
      </w:r>
    </w:p>
    <w:p>
      <w:pPr>
        <w:pStyle w:val="TextBody"/>
        <w:bidi w:val="0"/>
        <w:spacing w:before="240" w:after="0"/>
        <w:jc w:val="left"/>
        <w:rPr>
          <w:rFonts w:ascii="Times New Roman" w:hAnsi="Times New Roman"/>
          <w:sz w:val="20"/>
        </w:rPr>
      </w:pPr>
      <w:r>
        <w:rPr>
          <w:rFonts w:ascii="Times New Roman" w:hAnsi="Times New Roman"/>
          <w:sz w:val="20"/>
        </w:rPr>
        <w:t xml:space="preserve">The sales price of any sale of shares is generally included in the business income of a Finnish company. Correspondingly, the acquisition cost of shares is deductible from business income upon disposal of the shares with the below exemptions on shares belonging to fixed assets or other assets. </w:t>
      </w:r>
    </w:p>
    <w:p>
      <w:pPr>
        <w:pStyle w:val="TextBody"/>
        <w:bidi w:val="0"/>
        <w:spacing w:before="240" w:after="0"/>
        <w:jc w:val="left"/>
        <w:rPr>
          <w:rFonts w:ascii="Times New Roman" w:hAnsi="Times New Roman"/>
          <w:sz w:val="20"/>
        </w:rPr>
      </w:pPr>
      <w:r>
        <w:rPr>
          <w:rFonts w:ascii="Times New Roman" w:hAnsi="Times New Roman"/>
          <w:sz w:val="20"/>
        </w:rPr>
        <w:t xml:space="preserve">An exemption for capital gains on share disposals is available for Finnish companies, provided that certain strictly defined requirements are met. Under this participation exemption, capital gains arising from the sale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that are part of the fixed assets of a selling company that is not engaged in private equity activities are not considered as taxable business income and, correspondingly, capital losses incurred on the sale of such shares are not tax deductible provided, among other things, that (i) the selling company has directly and continuously for at least one year owned at least 10 per cent of the share capital in the company whose shares are sold and such ownership of the sold shares has ended at the most one year before the sale and the shares sold belong to those shares; (ii) the company whose shares have been sold is not a real estate or residential housing company or a limited liability company whose activities, on a factual basis, mainly consist of ownership or possession of real estate; and (iii) the company whose shares are sold is resident in Finland or is a company located in another EU member state, as further specified in Article 2 of the Parent Subsidiary Directive, or is resident in a country with which Finland has entered into a double taxation treaty that is applicable to dividends. </w:t>
      </w:r>
    </w:p>
    <w:p>
      <w:pPr>
        <w:pStyle w:val="TextBody"/>
        <w:bidi w:val="0"/>
        <w:spacing w:before="240" w:after="0"/>
        <w:jc w:val="left"/>
        <w:rPr>
          <w:rFonts w:ascii="Times New Roman" w:hAnsi="Times New Roman"/>
          <w:sz w:val="20"/>
        </w:rPr>
      </w:pPr>
      <w:r>
        <w:rPr>
          <w:rFonts w:ascii="Times New Roman" w:hAnsi="Times New Roman"/>
          <w:sz w:val="20"/>
        </w:rPr>
        <w:t xml:space="preserve">Tax deductible capital losses pertaining to the sale of shares (other shares than shares sold under the participation exemption) that are part of the fixed assets of the selling company can only be deducted from capital gains arising from the sale of fixed assets shares in the same fiscal year and the subsequent five years. Capital losses pertaining to the sale of shares that are not part of fixed assets are tax deductible from taxable income in the same fiscal year and the subsequent ten years in accordance with the general rules concerning losses carried forward. </w:t>
      </w:r>
    </w:p>
    <w:p>
      <w:pPr>
        <w:pStyle w:val="TextBody"/>
        <w:bidi w:val="0"/>
        <w:spacing w:before="240" w:after="0"/>
        <w:jc w:val="left"/>
        <w:rPr>
          <w:rFonts w:ascii="Times New Roman" w:hAnsi="Times New Roman"/>
          <w:sz w:val="20"/>
        </w:rPr>
      </w:pPr>
      <w:r>
        <w:rPr>
          <w:rFonts w:ascii="Times New Roman" w:hAnsi="Times New Roman"/>
          <w:sz w:val="20"/>
        </w:rPr>
        <w:t xml:space="preserve">The capital loss on shares belonging to other assets of the company are deductible only from capital gains relating to assets belonging to the same asset category during the tax year in question and following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Non-residents who are not generally liable for tax in Finland are usually not subject to Finnish taxes on capital gains realized on the sale of shares in a listed company, unless the non-resident taxpayer is deemed to have a permanent establishment in Finland for income tax purposes as referred to in the Income Tax Act and an applicable tax treaty and the shares are considered to be assets of that permanent establishment. </w:t>
      </w:r>
    </w:p>
    <w:p>
      <w:pPr>
        <w:pStyle w:val="TextBody"/>
        <w:bidi w:val="0"/>
        <w:spacing w:before="240" w:after="0"/>
        <w:jc w:val="left"/>
        <w:rPr>
          <w:rFonts w:ascii="Times New Roman" w:hAnsi="Times New Roman"/>
          <w:sz w:val="20"/>
        </w:rPr>
      </w:pPr>
      <w:r>
        <w:rPr>
          <w:rFonts w:ascii="Times New Roman" w:hAnsi="Times New Roman"/>
          <w:sz w:val="20"/>
        </w:rPr>
        <w:t xml:space="preserve">Non-residents may also be subject to Finnish taxes on capital gains realized on the sale of shares in a listed company if the value of such shares derives directly or indirectly from real property located in Finland in any of the preceding 365 days unless applicable tax treaty limits the taxing right of Finland on capital gains. </w:t>
      </w:r>
    </w:p>
    <w:p>
      <w:pPr>
        <w:pStyle w:val="TextBody"/>
        <w:bidi w:val="0"/>
        <w:spacing w:before="360" w:after="0"/>
        <w:jc w:val="left"/>
        <w:rPr>
          <w:rFonts w:ascii="Times New Roman" w:hAnsi="Times New Roman"/>
          <w:b/>
          <w:sz w:val="20"/>
        </w:rPr>
      </w:pPr>
      <w:r>
        <w:rPr>
          <w:rFonts w:ascii="Times New Roman" w:hAnsi="Times New Roman"/>
          <w:b/>
          <w:sz w:val="20"/>
        </w:rPr>
        <w:t xml:space="preserve">Finnish Transfer Tax </w:t>
      </w:r>
    </w:p>
    <w:p>
      <w:pPr>
        <w:pStyle w:val="TextBody"/>
        <w:bidi w:val="0"/>
        <w:spacing w:before="120" w:after="0"/>
        <w:jc w:val="left"/>
        <w:rPr>
          <w:rFonts w:ascii="Times New Roman" w:hAnsi="Times New Roman"/>
          <w:sz w:val="20"/>
        </w:rPr>
      </w:pPr>
      <w:r>
        <w:rPr>
          <w:rFonts w:ascii="Times New Roman" w:hAnsi="Times New Roman"/>
          <w:sz w:val="20"/>
        </w:rPr>
        <w:t xml:space="preserve">No transfer tax is payable in Finland on transfers of shares admitted to trading on a public and regularly functioning marketplace and multilateral trading facilities as intended in the Act on Trading in Financial Instruments (1070/2017, as amended), where the shares have become subject to public trading based on application or acceptance of a listed company and are recorded to book-entry-system provided that the transfer is made against a fixed pecuniary consideration. The transfer tax exemption requires that an investment firm, a foreign investment firm or other party offering investment services, as defined in the Finnish Investment Services Act (747/2012, as amended), is brokering or acting as a party to the transaction, or that the transferee has been approved as a trading party in the market in which the transfer is executed. Further, if the broker or the counterparty to the transaction is not a Finnish investment firm, a Finnish credit institution, or a Finnish branch or office of a foreign investment firm or credit institution, the transfer tax exemption requires that the transferee submits a notification of the transfer to the Finnish tax authorities within two months of the transfer, or that the broker submits an annual declaration regarding the transfer to the Finnish tax authorities as set forth in the Tax Assessment Act. </w:t>
      </w:r>
    </w:p>
    <w:p>
      <w:pPr>
        <w:pStyle w:val="TextBody"/>
        <w:bidi w:val="0"/>
        <w:spacing w:before="240" w:after="0"/>
        <w:jc w:val="left"/>
        <w:rPr>
          <w:rFonts w:ascii="Times New Roman" w:hAnsi="Times New Roman"/>
          <w:sz w:val="20"/>
        </w:rPr>
      </w:pPr>
      <w:r>
        <w:rPr>
          <w:rFonts w:ascii="Times New Roman" w:hAnsi="Times New Roman"/>
          <w:sz w:val="20"/>
        </w:rPr>
        <w:t xml:space="preserve">Certain separately defined transfers, such as those relating to equity investments or distribution of funds or transfers in which consideration comprises in full or in part of work contribution, are not covered by the transfer tax exemption. Additionally, in case law it has been considered that if an incentive scheme remuneration of key persons is paid in cash and the receiver of the remuneration is obliged to purchase shares of the listed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part of the remuneration, consideration of the share purchase comprises in full or in part of work contribution, and is thus subject to transfer tax. </w:t>
      </w:r>
    </w:p>
    <w:p>
      <w:pPr>
        <w:pStyle w:val="TextBody"/>
        <w:bidi w:val="0"/>
        <w:spacing w:before="240" w:after="0"/>
        <w:jc w:val="left"/>
        <w:rPr>
          <w:rFonts w:ascii="Times New Roman" w:hAnsi="Times New Roman"/>
          <w:sz w:val="20"/>
        </w:rPr>
      </w:pPr>
      <w:r>
        <w:rPr>
          <w:rFonts w:ascii="Times New Roman" w:hAnsi="Times New Roman"/>
          <w:sz w:val="20"/>
        </w:rPr>
        <w:t xml:space="preserve">Neither does the exemption apply to transfers carried out on the basis of an offer made after trading with the securities has ended or before the commencement of trading unless it concerns a share sale of old shares based on a combined purchase and subscription offer directly relating to a share issue carried out in connection with the listing of the shares and provided that subjects to be transferred are specified only after commencement of the trading and that the purchase price corresponds to the price to be paid for the new shares. In addition, the exemption does not apply to transfers carried out in order to fulfil the obligation to redeem minority shares under the Finnish Companies Act. </w:t>
      </w:r>
    </w:p>
    <w:p>
      <w:pPr>
        <w:pStyle w:val="TextBody"/>
        <w:bidi w:val="0"/>
        <w:spacing w:before="240" w:after="0"/>
        <w:jc w:val="left"/>
        <w:rPr>
          <w:rFonts w:ascii="Times New Roman" w:hAnsi="Times New Roman"/>
          <w:sz w:val="20"/>
        </w:rPr>
      </w:pPr>
      <w:r>
        <w:rPr>
          <w:rFonts w:ascii="Times New Roman" w:hAnsi="Times New Roman"/>
          <w:sz w:val="20"/>
        </w:rPr>
        <w:t xml:space="preserve">If the transfer or sale of the shares does not fulfil the above criteria for a tax-exempt transfer, transfer tax at the rate of 1.5 per cent of the sales price is payable by the purchaser. However, if the purchaser is neither a resident in Finland nor a Finnish branch or office of a foreign credit institution, investment firm, fund management company or EEA alternative investment fund manager, the seller must collect the tax from the purchaser and pay the tax to the Finnish tax authorities. If the broker is a Finnish investment firm or credit institution, or a Finnish branch or office of a foreign investment firm or credit institution, it is liable to collect the transfer tax from the purchaser and pay the tax to the Finnish tax authorities. If neither the purchaser nor the seller is tax resident in Finland or a Finnish branch or office of a foreign credit institution, foreign investment firm, foreign fund management company or EEA alternative investment fund manager, the transfer of shares will be exempt from Finnish transfer tax unless shares in a real estate company are transferred. No transfer tax is collected if the amount of the tax is less than EUR 10. </w:t>
      </w:r>
    </w:p>
    <w:p>
      <w:pPr>
        <w:pStyle w:val="TextBody"/>
        <w:bidi w:val="0"/>
        <w:spacing w:before="240" w:after="0"/>
        <w:jc w:val="left"/>
        <w:rPr>
          <w:rFonts w:ascii="Times New Roman" w:hAnsi="Times New Roman"/>
          <w:sz w:val="20"/>
        </w:rPr>
      </w:pPr>
      <w:r>
        <w:rPr>
          <w:rFonts w:ascii="Times New Roman" w:hAnsi="Times New Roman"/>
          <w:sz w:val="20"/>
        </w:rPr>
        <w:t xml:space="preserve">No Finnish transfer tax is payable in connection with the issuance and subscription of new shares or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Finnish Tax Treatment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Finnish tax law does not contain specific statutory provisions addressing the taxation of instruments such as the IQM Warrants. Based on established Finnish tax practice and case law, transferable warrants that are listed on, or capable of being listed on, a public market are treated as securities and their disposal is taxed under the general rules on capital gains under the Income Tax Act. The IQM Warrants are listed on Nasdaq, which is treated for Finnish tax purposes as a market equivalent to a regulated market within the EEA.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A capital gain or loss arising from the sale of an IQM Warrant on Nasdaq or otherwise is taxable or deductible, as the case may be, on the same basis as a capital gain or loss on IQM Shares (see “— </w:t>
      </w:r>
      <w:r>
        <w:rPr>
          <w:rFonts w:ascii="Times New Roman" w:hAnsi="Times New Roman"/>
          <w:i/>
          <w:sz w:val="20"/>
        </w:rPr>
        <w:t>Taxation of Capital Gains — Resident Natural Persons</w:t>
      </w:r>
      <w:r>
        <w:rPr>
          <w:rFonts w:ascii="Times New Roman" w:hAnsi="Times New Roman"/>
          <w:sz w:val="20"/>
        </w:rPr>
        <w:t xml:space="preserve">” above). The acquisition cost of an IQM Warrant equals the price paid for the IQM Warrant together with related transaction costs. Alternatively, a resident natural person may apply the presumptive acquisition cost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For a Finnish limited liability company taxed under the Business Income Tax Act, any capital gain from the sale of an IQM Warrant is generally included in taxable business income at the current 20 per cent corporate income tax rate, and the acquisition cost of the IQM Warrant is correspondingly deductible upon disposal.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The exercise of an IQM Warrant for cash by a holder, resulting in the acquisition of an IQM Share represented by an IQM ADS at the exercise price, does not, of itself, give rise to a taxable disposal of the IQM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for Finnish income tax purposes. The acquisition cost of the IQM Share acquired on exercise equals the sum of the acquisition cost of the exercised IQM Warrant and the exercise price paid, and the holding period of the IQM Share acquired is deemed to begin on the date of acquisition of the exercised IQM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Lapse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If an IQM Warrant lapses unexercised, the resulting loss is treated as a final loss on a security under Section 50, subsection 3 of the Income Tax Act, and may be deducted by a resident natural person from capital gains realised in the same tax year and the following five tax years, and by a Finnish limited liability company in accordance with the general rules on the deductibility of losses on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Non-residents of Finland are not, as a general rule, subject to Finnish tax on capital gains realised on the sale or exercise of IQM Warrants unless the non-resident holder has a permanent establishment in Finland to which the IQM Warrants are attributable. See also “— </w:t>
      </w:r>
      <w:r>
        <w:rPr>
          <w:rFonts w:ascii="Times New Roman" w:hAnsi="Times New Roman"/>
          <w:i/>
          <w:sz w:val="20"/>
        </w:rPr>
        <w:t>Taxation of Capital Gains — Non-Residents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Transfer Tax on IQM Warrants </w:t>
      </w:r>
    </w:p>
    <w:p>
      <w:pPr>
        <w:pStyle w:val="TextBody"/>
        <w:bidi w:val="0"/>
        <w:spacing w:before="120" w:after="0"/>
        <w:jc w:val="left"/>
        <w:rPr>
          <w:rFonts w:ascii="Times New Roman" w:hAnsi="Times New Roman"/>
          <w:sz w:val="20"/>
        </w:rPr>
      </w:pPr>
      <w:r>
        <w:rPr>
          <w:rFonts w:ascii="Times New Roman" w:hAnsi="Times New Roman"/>
          <w:sz w:val="20"/>
        </w:rPr>
        <w:t xml:space="preserve">No Finnish transfer tax is payable in connection with the exercise of an IQM Warrant, as the exercise results in the subscription of newly issued IQM Shares by IQM. Transfers of IQM Warrants effected on Nasdaq are, in principle, exempt from Finnish transfer tax on the same basis as transfers of IQM Shares effected on a regulated market, subject to the conditions described above under “— </w:t>
      </w:r>
      <w:r>
        <w:rPr>
          <w:rFonts w:ascii="Times New Roman" w:hAnsi="Times New Roman"/>
          <w:i/>
          <w:sz w:val="20"/>
        </w:rPr>
        <w:t>Finnish Transfer Tax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Material U.S. Federal Income Tax Considerations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ownership and disposition of IQM ADSs and/or IQM Warrants (together, the “IQM Securities”). This discussion applies only to U.S. Holders (as defined below) of IQM Securities that hold such securities as “capital assets” within the meaning of Section 1221 of the Internal Revenue Code of 1986, as amended (the “Code”)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does not purport to be a complete analysis of all potential tax considerations arising in connection with the ownership and disposition of IQM Securities. This discussion does not address U.S. federal tax laws other than those pertaining to U.S. federal income taxation (such as estate and gift tax laws, the alternative minimum tax provisions of the Code or the Medicare tax on net investment income), nor does it address any applicable state, local or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U.S. Treasury Regulations promulgated thereunder, judicial decisions and published rulings and administrative pronouncements of the Internal Revenue Service (the “IRS”), in each case in effect as of the date hereof. These authorities may change or be subject to differing interpretations. Any such change or differing interpretation may be applied retroactively in a manner that could adversely affect the tax consequences discussed below. Neither RAAQ nor IQM has sought nor will seek any rulings from the IRS regarding the matters discussed below. There can be no assurance that the IRS will not take positions inconsistent with the tax considerations discussed below or that any such positions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U.S. federal income tax considerations relevant to a holder’s particular circumstances. In addition, it does not address considerations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are not U.S.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officers, directors, or employees of IQM;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mark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any IQM Securities as part of a hedge, straddle, constructive sale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IQM Securities as a result of such income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5% or more (by vote or value) of the outstanding IQM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treated as partnerships or other flow-through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“base erosion and anti-abuse”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having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received IQM Securities pursuant to the exercise of any employee share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and tax-qualified retirement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IQM Securities, the tax treatment of an owner of such entity or arrangement generally will depend on the status of the owner, the activities of the entity or arrangement and certain determinations made at the owner level. Accordingly, entities or arrangements treated as partnerships for U.S. federal income tax purposes and the owners in such entities or arrangements should consult their tax advisors regarding the U.S. federal income tax consequences to them.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CONSIDERATIONS OF ACQUIRING, HOLDING OR DISPOSING OF IQM SECURITIES FOR ANY PARTICULAR HOLDER DEPENDS ON DETERMINATIONS OF FACT AND INTERPRETATIONS OF COMPLEX PROVISIONS OF U.S. FEDERAL INCOME TAX LAW FOR WHICH NO CLEAR PRECEDENT OR AUTHORITY MAY BE AVAILABLE AND WILL DEPEND ON THE HOLDER’S PARTICULAR TAX CIRCUMSTANCES. U.S. HOLDERS SHOULD CONSULT THEIR TAX ADVISOR REGARDING THE U.S. FEDERAL, STATE AND LOCAL, AND NON-U.S. INCOME AND OTHER TAX CONSEQUENCES TO THEM, IN LIGHT OF THEIR PARTICULAR INVESTMENT OR TAX CIRCUMSTANCES, OF OWNING AND/OR DISPOSING OF IQM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IQM Securities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(within the meaning of Section 7701(a)(30) of the Code)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Ownership and Disposition of IQM Securities by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below assumes that the representations contained in the deposit agreement are true and that the obligations in the deposit agreement and any related agreement will be complied with in accordance with their terms. Generally, a holder of an IQM ADS should be treated for U.S. federal income tax purposes as holding the IQM Share represented by the IQM ADS. Accordingly, no gain or loss will be recognized upon an exchange of IQM ADSs for IQM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on IQM ADSs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discussed below under the heading “— </w:t>
      </w:r>
      <w:r>
        <w:rPr>
          <w:rFonts w:ascii="Times New Roman" w:hAnsi="Times New Roman"/>
          <w:i/>
          <w:sz w:val="20"/>
        </w:rPr>
        <w:t>Passive Foreign Investment Company Rules</w:t>
      </w:r>
      <w:r>
        <w:rPr>
          <w:rFonts w:ascii="Times New Roman" w:hAnsi="Times New Roman"/>
          <w:sz w:val="20"/>
        </w:rPr>
        <w:t xml:space="preserve">,” distributions on IQM ADSs generally will be taxable as a dividend for U.S. federal income tax purposes to the extent paid from IQM’s current or accumulated earnings and profits, as determined under U.S. federal income tax principles. Distributions in excess of IQM’s current and accumulated earnings and profits will constitute a return of capital that will be applied against and reduce (but not below zero) the U.S. Holder’s adjusted tax basis in its IQM ADSs. Any remaining excess will be treated as gain realized on the sale or other disposition of the IQM ADSs and will be treated as described below under the heading “— </w:t>
      </w:r>
      <w:r>
        <w:rPr>
          <w:rFonts w:ascii="Times New Roman" w:hAnsi="Times New Roman"/>
          <w:i/>
          <w:sz w:val="20"/>
        </w:rPr>
        <w:t>Sale, Exchange, Redemption or Other Taxable Disposition of IQM Securities</w:t>
      </w:r>
      <w:r>
        <w:rPr>
          <w:rFonts w:ascii="Times New Roman" w:hAnsi="Times New Roman"/>
          <w:sz w:val="20"/>
        </w:rPr>
        <w:t xml:space="preserve">.” IQM may not determine its earnings and profits on the basis of U.S. federal income tax principles, however, in which case any distribution paid by IQM will be treated as a dividend.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by IQM to corporate U.S. Holders generally will be taxed at regular rates and will not qualify for the dividends received deduction generally allowed to domestic corporations in respect of dividends received from other domestic corporations. Dividends paid by IQM to non-corporate U.S. Holders may qualify for the lower applicable long-term capital gains rate only if IQM is a “qualified foreign corporation” and other requirements are met. A non-U.S. corporation, such as IQM, will be treated as a “qualified foreign corporation” (i) with respect to dividends paid by such non-U.S. corporation on shares that are readily tradable on an established securities market in the United States or (ii) if such non-U.S. corporation is eligible for the benefits of a comprehensive income tax treaty with the United States that includes an exchange of information program. However, a non-U.S. corporation will not be treated as a qualified foreign corporation if it is a PFIC in the taxable year in which the dividend is paid or the preceding taxable year. The IQM ADSs are expected to be listed on Nasdaq, which is an established securities market for such purposes. There can be no assurance, however, that the IQM ADSs will be considered readily tradeable on an established securities market in later years.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or Other Taxable Disposition of IQM Securities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discussed below under the heading “— </w:t>
      </w:r>
      <w:r>
        <w:rPr>
          <w:rFonts w:ascii="Times New Roman" w:hAnsi="Times New Roman"/>
          <w:i/>
          <w:sz w:val="20"/>
        </w:rPr>
        <w:t>Passive Foreign Investment Company Rules,</w:t>
      </w:r>
      <w:r>
        <w:rPr>
          <w:rFonts w:ascii="Times New Roman" w:hAnsi="Times New Roman"/>
          <w:sz w:val="20"/>
        </w:rPr>
        <w:t xml:space="preserve">” upon any sale, exchange, redemption or other taxable disposition of the IQM Securities, a U.S. Holder generally will recognize gain or loss in an amount equal to the difference between (i) the amount realized (i.e., the sum of the amount of cash and the fair market value of any other property received in such sale, exchange, redemption or other taxable disposition) and (ii) the U.S. Holder’s adjusted tax basis in such IQM Securities. Any such gain or loss generally will be capital gain or loss and will be long-term capital gain or loss if the U.S. Holder’s holding period for such IQM Securities exceeds one year. Long-term capital gain realized by a non-corporate U.S. Holder generally will be taxable at a reduced rate. The deductibility of capital losses is subject to limitations. This gain or loss generally will be treated as U.S. source gain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Exercise, Lapse or Redemption of an IQM Warrant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not recognize gain or loss upon the acquisition of an IQM Share (represented by an IQM ADS) on the exercise of an IQM Warrant for cash. A U.S. Holder’s tax basis in an IQM ADS received upon exercise of the IQM Warrant generally should be an amount equal to the sum of the U.S. Holder’s tax basis in the IQM Warrant exchanged therefor and the exercise price. The U.S. Holder’s holding period for an IQM ADS received upon exercise of an IQM Warrant will begin on the date following the date of exercise (or possibly the date of exercise) of the IQM Warrant and will not include the holding period during which the U.S. Holder held the IQM Warrant. If an IQM Warrant is allowed to lapse unexercised, a U.S. Holder generally will recognize a capital loss equal to such holder’s tax basis in the IQM Warrant. </w:t>
      </w:r>
    </w:p>
    <w:p>
      <w:pPr>
        <w:pStyle w:val="TextBody"/>
        <w:bidi w:val="0"/>
        <w:spacing w:before="240" w:after="0"/>
        <w:jc w:val="left"/>
        <w:rPr>
          <w:rFonts w:ascii="Times New Roman" w:hAnsi="Times New Roman"/>
          <w:sz w:val="20"/>
        </w:rPr>
      </w:pPr>
      <w:r>
        <w:rPr>
          <w:rFonts w:ascii="Times New Roman" w:hAnsi="Times New Roman"/>
          <w:sz w:val="20"/>
        </w:rPr>
        <w:t>The tax consequences of a cashless exercise of an IQM Warrant are not clear under current tax law. Subject to the PFIC rules discussed below under “— </w:t>
      </w:r>
      <w:r>
        <w:rPr>
          <w:rFonts w:ascii="Times New Roman" w:hAnsi="Times New Roman"/>
          <w:i/>
          <w:sz w:val="20"/>
        </w:rPr>
        <w:t>Passive Foreign Investment Company Rules</w:t>
      </w:r>
      <w:r>
        <w:rPr>
          <w:rFonts w:ascii="Times New Roman" w:hAnsi="Times New Roman"/>
          <w:sz w:val="20"/>
        </w:rPr>
        <w:t xml:space="preserve">,” a cashless exercise may not be taxable, either because the exercise is not a realization event or because the exercise is treated as a recapitalization for U.S. federal income tax purposes. In either situation, a U.S. Holder’s basis in IQM ADSs received would equal the holder’s basis in the IQM Warrants exercised therefor. If the cashless exercise is treated as not being a realization event, it is unclear whether a U.S. Holder’s holding period in the IQM ADSs would be treated as commencing on the date following the date of exercise or on the date of exercise of the IQM Warrants; in either case, the holding period would not include the period during which the U.S. Holder held the IQM Warrants. If the cashless exercise is treated as a recapitalization, the holding period of the IQM ADSs would include the holding period of the IQM Warrants exercised therefor.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could be treated in part as a taxable exchange in which gain or loss would be recognized. In such event, a U.S. Holder could be deemed to have surrendered a number of IQM Warrants equal to the number of IQM ADSs having a value equal to the exercise price for the total number of IQM Warrants to be exercised. In such case, subject to the PFIC rules discussed below under “— </w:t>
      </w:r>
      <w:r>
        <w:rPr>
          <w:rFonts w:ascii="Times New Roman" w:hAnsi="Times New Roman"/>
          <w:i/>
          <w:sz w:val="20"/>
        </w:rPr>
        <w:t>Passive Foreign Investment Company Rules</w:t>
      </w:r>
      <w:r>
        <w:rPr>
          <w:rFonts w:ascii="Times New Roman" w:hAnsi="Times New Roman"/>
          <w:sz w:val="20"/>
        </w:rPr>
        <w:t xml:space="preserve">,” the U.S. Holder would recognize capital gain or loss with respect to the IQM Warrants deemed surrendered in an amount equal to the difference between the fair market value of the IQM ADSs that would have been received in a regular exercise of the IQM Warrants deemed surrendered and the U.S. Holder’s tax basis in the IQM Warrants deemed surrendered. In this case, a U.S. Holder’s aggregate tax basis in the IQM ADSs received would equal the sum of the U.S. Holder’s tax basis in the IQM Warrants deemed exercised and the aggregate exercise price of such IQM Warrants. It is unclear whether a U.S. Holder’s holding period for the IQM ADSs would commence on the date following the date of exercise or on the date of exercise of the IQM Warrants; in either case, the holding period would not include the period during which the U.S. Holder held the IQM Warrants. </w:t>
      </w:r>
    </w:p>
    <w:p>
      <w:pPr>
        <w:pStyle w:val="TextBody"/>
        <w:bidi w:val="0"/>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of warrants, there can be no assurances which, if any, of the alternative tax consequences and holding periods described above would be adopted by the IRS or a court of law. Accordingly, U.S. Holders should consult their tax advisors regarding the tax consequences of a cashless exercise of IQM Warrants. </w:t>
      </w:r>
    </w:p>
    <w:p>
      <w:pPr>
        <w:pStyle w:val="TextBody"/>
        <w:bidi w:val="0"/>
        <w:spacing w:before="240" w:after="0"/>
        <w:jc w:val="left"/>
        <w:rPr>
          <w:rFonts w:ascii="Times New Roman" w:hAnsi="Times New Roman"/>
          <w:sz w:val="20"/>
        </w:rPr>
      </w:pPr>
      <w:r>
        <w:rPr>
          <w:rFonts w:ascii="Times New Roman" w:hAnsi="Times New Roman"/>
          <w:sz w:val="20"/>
        </w:rPr>
        <w:t>Subject to the PFIC rules described below under “— </w:t>
      </w:r>
      <w:r>
        <w:rPr>
          <w:rFonts w:ascii="Times New Roman" w:hAnsi="Times New Roman"/>
          <w:i/>
          <w:sz w:val="20"/>
        </w:rPr>
        <w:t>Passive Foreign Investment Company Rules</w:t>
      </w:r>
      <w:r>
        <w:rPr>
          <w:rFonts w:ascii="Times New Roman" w:hAnsi="Times New Roman"/>
          <w:sz w:val="20"/>
        </w:rPr>
        <w:t xml:space="preserve">,” if IQM redeems IQM Warrants for cash pursuant to the redemption provisions of the warrant agreement or if IQM purchases IQM Warrants in an open market transaction, such redemption or purchase generally will be treated as a taxable disposition to the U.S. Holder, taxed as described above under “— </w:t>
      </w:r>
      <w:r>
        <w:rPr>
          <w:rFonts w:ascii="Times New Roman" w:hAnsi="Times New Roman"/>
          <w:i/>
          <w:sz w:val="20"/>
        </w:rPr>
        <w:t>Sale, Exchange, Redemption or Other Taxable Disposition of IQM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terms of the RAAQ Warrants, the terms of each IQM Warrant provide for an adjustment to the number of IQM ADSs for which the warrant may be exercised or to the exercise price of the warrant in certain events. An adjustment that has the effect of preventing dilution generally is not taxable to U.S. Holders of IQM Warrants. However, the U.S. Holders of IQM Warrants would be treated as receiving a constructive distribution from IQM if, for example, the adjustment increases the warrant holder’s proportionate interest in IQM’s assets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earnings and profits (e.g., through an increase in the number of IQM ADSs that would be obtained upon exercise or through a decrease to the exercise price) as a result of a distribution of cash to the holders of IQM ADSs that is taxable to the U.S. Holders of such IQM ADSs as a distribution as described above under “— </w:t>
      </w:r>
      <w:r>
        <w:rPr>
          <w:rFonts w:ascii="Times New Roman" w:hAnsi="Times New Roman"/>
          <w:i/>
          <w:sz w:val="20"/>
        </w:rPr>
        <w:t>Dividends and Other Distributions on IQM ADSs</w:t>
      </w:r>
      <w:r>
        <w:rPr>
          <w:rFonts w:ascii="Times New Roman" w:hAnsi="Times New Roman"/>
          <w:sz w:val="20"/>
        </w:rPr>
        <w:t xml:space="preserve">.” Such a constructive distribution to the U.S. Holders of the warrants would be subject to tax as described under that section in the same manner as if the U.S. Holders of the warrants received a cash distribution from IQM equal to the fair market value of the increase in the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U.S. Holders of IQM Securities could be materially different from that described above if IQM is treated as a PFIC. </w:t>
      </w:r>
    </w:p>
    <w:p>
      <w:pPr>
        <w:pStyle w:val="TextBody"/>
        <w:bidi w:val="0"/>
        <w:spacing w:before="240" w:after="0"/>
        <w:jc w:val="left"/>
        <w:rPr>
          <w:rFonts w:ascii="Times New Roman" w:hAnsi="Times New Roman"/>
          <w:sz w:val="20"/>
        </w:rPr>
      </w:pPr>
      <w:r>
        <w:rPr>
          <w:rFonts w:ascii="Times New Roman" w:hAnsi="Times New Roman"/>
          <w:sz w:val="20"/>
        </w:rPr>
        <w:t xml:space="preserve">A non-U.S. corporation will be classified as a PFIC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composition of the income and assets of IQM and its subsidiaries, IQM believes that it was not classified as a PFIC for the taxable year ended December 31, 2025. However, whether IQM is treated as a PFIC for any taxable year is a factual determination that can only be made after the close of such taxable year and, thus, is subject to significant uncertainty and change. Accordingly, there can be no assurance with respect to IQM’s status as a PFIC for any prior taxable year, the current taxable year or any future taxable year, and IQM’s U.S. counsel expresses no opinion regarding IQM’s PFIC status for any taxable year. </w:t>
      </w:r>
    </w:p>
    <w:p>
      <w:pPr>
        <w:pStyle w:val="TextBody"/>
        <w:bidi w:val="0"/>
        <w:spacing w:before="240" w:after="0"/>
        <w:jc w:val="left"/>
        <w:rPr>
          <w:rFonts w:ascii="Times New Roman" w:hAnsi="Times New Roman"/>
          <w:sz w:val="20"/>
        </w:rPr>
      </w:pPr>
      <w:r>
        <w:rPr>
          <w:rFonts w:ascii="Times New Roman" w:hAnsi="Times New Roman"/>
          <w:sz w:val="20"/>
        </w:rPr>
        <w:t xml:space="preserve">It is not entirely clear how various aspects of the PFIC rules apply to the IQM Warrants. Section 1298(a)(4) of the Code provides that, to the extent provided in the U.S. Treasury Regulations, any person who has an option to acquire stock in a PFIC shall be considered to own such stock in the PFIC for purposes of the PFIC rules. No final U.S. Treasury Regulations are currently in effect under Section 1298(a)(4) of the Code. However, proposed U.S. Treasury Regulations under Section 1298(a)(4) of the Code have been promulgated with a retroactive effective date (the “Proposed PFIC Option Regulations”). Each U.S. Holder is urged to consult its tax advisors regarding the possible application of the Proposed PFIC Option Regulations and the PFIC rules to an investment in the IQM Warrants. Solely for discussion purposes, the following discussion assumes that the Proposed PFIC Option Regulations will apply to the IQM Warrants. </w:t>
      </w:r>
    </w:p>
    <w:p>
      <w:pPr>
        <w:pStyle w:val="TextBody"/>
        <w:bidi w:val="0"/>
        <w:spacing w:before="240" w:after="0"/>
        <w:jc w:val="left"/>
        <w:rPr>
          <w:rFonts w:ascii="Times New Roman" w:hAnsi="Times New Roman"/>
          <w:sz w:val="20"/>
        </w:rPr>
      </w:pPr>
      <w:r>
        <w:rPr>
          <w:rFonts w:ascii="Times New Roman" w:hAnsi="Times New Roman"/>
          <w:sz w:val="20"/>
        </w:rPr>
        <w:t xml:space="preserve">Under the PFIC rules, if IQM is considered a PFIC at any time that a U.S. Holder owns IQM Securities, IQM would continue to be treated as a PFIC with respect to such investment unless (i) it ceased to be a PFIC and (ii) the U.S. Holder made a “deemed sale” election under the PFIC rules. If such election is made, a U.S. Holder will be deemed to have sold its IQM Securities at their fair market value on the last day of the last taxable year in which IQM is classified as a PFIC, and any gain from such deemed sale would be subject to the consequences described below. After the deemed sale election, the IQM Securities with respect to which the deemed sale election was made will not be treated as shares in a PFIC unless IQM subsequently becomes a PFIC. </w:t>
      </w:r>
    </w:p>
    <w:p>
      <w:pPr>
        <w:pStyle w:val="TextBody"/>
        <w:bidi w:val="0"/>
        <w:spacing w:before="240" w:after="0"/>
        <w:jc w:val="left"/>
        <w:rPr>
          <w:rFonts w:ascii="Times New Roman" w:hAnsi="Times New Roman"/>
          <w:sz w:val="20"/>
        </w:rPr>
      </w:pPr>
      <w:r>
        <w:rPr>
          <w:rFonts w:ascii="Times New Roman" w:hAnsi="Times New Roman"/>
          <w:sz w:val="20"/>
        </w:rPr>
        <w:t xml:space="preserve">For each taxable year that IQM is treated as a PFIC with respect to a U.S. Holder’s IQM Securities, the U.S. Holder will be subject to special tax rules with respect to any “excess distribution” (as defined below) received and any gain realized from a sale or disposition (including a pledge) of its IQM Securities (collectively the “Excess Distribution Rules”), unless the U.S. Holder makes a valid QEF election or mark-to-market election as discussed below. Distributions received by a U.S. Holder in a taxable year that are greater than 125% of the average annual distributions received during the shorter of the three preceding taxable years or the 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holding period for the IQM Securities will be treated as excess distributions. Under these Excess Distribution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or excess distribution will be allocated ratably over the U.S. Holder’s holding period for the IQM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U.S. Holder’s taxable year in which the U.S. Holder recognized the gain or received the excess distribution, or to the period in the U.S. Holder’s holding period before the first day of IQM’s first taxable year in which IQM is a PFIC, will be taxed as ordinary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other taxable years (or portions thereof) of the U.S. Holder and included in its holding period will be taxed at the highest tax rate in effect for that year and applicable to the U.S.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IQM is a PFIC, a U.S. Holder of IQM ADSs may avoid taxation under the Excess Distribution Rules described above by making a “qualified electing fund” (“QEF”) election. However, a U.S. Holder may make a QEF election with respect to its IQM ADSs only if IQM provides U.S. Holders on an annual basis with certain financial information specified under applicable U.S. Treasury Regulations. IQM does not intend to provide U.S. Holders with the required information on an annual basis to allow U.S. Holders to make a QEF election with respect to the IQM ADSs in the event IQM is treated as a PFIC for any taxable year. The failure to provide such information on an annual basis could prevent a U.S. Holder from making a QEF election or result in the invalidation or termination of a U.S. Holder’s prior QEF election.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IQM is a PFIC and IQM ADSs constitute “marketable stock,” a U.S. Holder may avoid the application of the Excess Distribution Rules discussed above if such U.S. Holder makes a “mark-to-market” election with respect to such ADSs for the first taxable year in which it holds (or is deemed to hold) IQM ADSs and each subsequent taxable year. Such U.S. Holder generally will include for each of its taxable years as ordinary income the excess, if any, of the fair market value of its IQM ADSs at the end of such year over its adjusted basis in its IQM ADSs. The U.S. Holder also will recognize an ordinary loss in respect of the excess, if any, of its adjusted basis of its IQM ADSs over the fair market value of its IQM ADSs at the end of its taxable year (but only to the extent of the net amount of previously included income as a result of the mark-to-market election). The U.S. Holder’s basis in its IQM ADSs will be adjusted to reflect any such income or loss amounts, and any further gain recognized on a sale or other taxable disposition of its IQM ADSs will be treated as ordinary income. Under current law, a mark-to-market election may not be made with respect to IQM Warrants.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generally, stock that is regularly traded on a national securities exchange that is registered with the Securities and Exchange Commission, including Nasdaq (on which IQM ADSs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IQM ADSs cease to qualify as “marketable stock” for purposes of the PFIC rules or the IRS consents to the revocation of the election. U.S. Holders are urged to consult their tax advisors regarding the availability and tax consequences of a mark-to-market election with respect to IQM ADSs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IQM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IQM receives a distribution from, or disposes of all or part of its interest in, the lower-tier PFIC, or the U.S. Holder otherwise was deemed to have disposed of an interest in the lower-tier PFIC. There can be no assurance that IQM will have timely knowledge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status of any lower-tier PFIC or provide information that may be required for a U.S. Holder to make or maintain a QEF election with respect to such lower-tier PFIC. A mark-to-market election generally would not be available with respect to such lower-tier PFIC.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PFICs and with the QEF and mark-to-market elections are very complex and are affected by various factors in addition to those described above. Accordingly, U.S. Holders of IQM Securities are urged to consult their own tax advisors concerning the application of the PFIC rules to IQM Securities under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Financial Asset Reporting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may be required to report their holdings of certain foreign financial assets, including equity of foreign entities, if the aggregate value of all of these assets exceeds $50,000 at the end of a taxable year or $75,000 at any time during a taxable year (or, for certain individuals living outside the United States and married individuals filing joint returns, certain higher thresholds). IQM Securities are expected to constitute foreign financial assets subject to these requirements unless held in an account at certain financial institutions. U.S. Holders should consult their own tax advisers regarding the application of these and other applicable reporting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may apply to distributions on the IQM Securities, and the proceeds received on sale or other taxable disposition of the IQM Securities effected within the United States (and, in certain cases, outside the United States), in each case other than U.S. Holders that are exempt recipients (such as certain corporations). Backup withholding at the current rate of 24% may apply to such amounts if the U.S. Holder fails to provide an accurate taxpayer identification number (generally on an IRS Form W-9 provided to the paying agent or the U.S. Holder’s broker) or is otherwise subject to backup withholding. U.S. Holders should consult their own tax advisors regarding the application of the U.S. information reporting and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generally may be credited against the taxpayer’s U.S. federal income tax liability, and a taxpayer may obtain a refund of any excess amounts withheld under the backup withholding rules by timely filing the appropriate claim for a refund with the IRS and furnishing any required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certain material U.S. federal tax considerations is for general information purposes only. It is not tax advice to holders of IQM Securities. Each such holder should consult its own tax advisor regarding the particular U.S. federal, state and local, and non-U.S. tax considerations of holding and disposing of IQM Securities, including the consequences of any proposed change in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36013_25"/>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of their respective pledgees, donees, assignees and successors-in-interest may, from time to time, sell any or all of the IQM Shares represented by IQM ADSs being offered under this resale prospectus on any stock exchange, market or trading facility on which such securities are traded or in private transactions, at market prices prevailing at the time of sale or at negotiated prices. The Selling Securityholders may use any one or more of the following methods when disposing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resales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of short sales made after the date that the registration statement of which this resale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any of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of these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The IQM Shares represented by IQM ADSs may also be sold, under Rule 144 under the Securities Act, if available for the Selling Securityholders , rather than under this resale prospectus. The Selling Securityholders have the sole and absolute discretion not to accept any purchase offer or make any sale of shares if they deem the purchase price to be unsatisfactory at any particular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 Selling Securityholders may pledge its shares to its brokers under the margin provisions of customer agreements. If the Selling Securityholders default on a margin loan, the broker may, from time to time, offer and sell the pledged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of the Selling Securityholders may elect to make an in-kind distribution of securities to its members pursuant to the registration statement of which this prospectus is a part by delivering a prospectus with a plan of distribution. Such members would thereby receive freely tradeable securities pursuant to the distribution through a registration statement. To the extent a distributee is an affiliate of IQM (or to the extent otherwise required by law), IQM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broker-dealers are used in the sale of the IQM Shares represented by IQM ADSs offered under this resale prospectus, the Selling Securityholders will sell such IQM Shares represented by IQM ADSs to such broker-dealers as principals. They may then resell the IQM Shares represented by IQM ADSs to the public at varying prices determined by the broker-dealers at the time of resale. 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which commissions as to a particular broker or dealer may be in excess of customary commissions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broker-dealers or agents that are involved in selling the shares offered under this resale prospectus are deemed to be “underwriters” within the meaning of Section 2(a)(11) of the Securities Act. Commissions received by these broker-dealers or agents and any profit on the resale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purchased by them may be deemed to be underwriting discount under the Securities Act. To the extent that broker-dealers are used in the sale of the IQM Shares represented by IQM ADSs offered under this resale prospectus, any such broker-dealers or agents that are deemed to be underwriters may not sell shares offered under this resale prospectus unless and until IQM sets forth the names of the underwriters and the material details of their underwriting arrangements in a supplement to this resale prospectus or, if required, in a replacement resale prospectus included in a post-effective amendment to the registration statement of which this resale prospectus is a part. Because the Selling Securityholders is deemed an “underwriter” within the meaning of Section 2(11) of the Securities Act, it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other persons participating in the sale or distribution of the shares offered under this resale prospectus will be subject to applicable provisions of the Exchange Act, and the rules and regulations under that act, including Regulation M. These provisions may restrict activities of, and limit the timing of purchases and sales of any of the shares by, the Selling Securityholders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Any FINRA member firm participating in the resale, on behalf of Selling Securityholders, of the securities on a principal or agency basis shall satisfy the filing and disclosure requirements of Rule 5110 and NASD Notice to Members 88-101, and shall not receive compensation in excess of that allowable under FINRA rules, including Rule 5110, in connection with the resale of the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IQM Shares represented by IQM ADSs offered for sale pursuant to this resale prospectus are transferred other than pursuant to a sale under this resale prospectus, then subsequent holders could not use this resale prospectus until a post-effective amendment or prospectus supplement, is filed, naming such holders. IQM offers no assurance as to whether the Selling Securityholders will sell all or any portion of the shares offered under this resale prospectus. We will not receive any proceeds from the sale of the securities by the Selling Securityholders, except to the extent that IQM Warrants are exercised for cash. </w:t>
      </w:r>
    </w:p>
    <w:p>
      <w:pPr>
        <w:pStyle w:val="TextBody"/>
        <w:bidi w:val="0"/>
        <w:spacing w:before="240" w:after="0"/>
        <w:jc w:val="left"/>
        <w:rPr>
          <w:rFonts w:ascii="Times New Roman" w:hAnsi="Times New Roman"/>
          <w:sz w:val="20"/>
        </w:rPr>
      </w:pPr>
      <w:r>
        <w:rPr>
          <w:rFonts w:ascii="Times New Roman" w:hAnsi="Times New Roman"/>
          <w:sz w:val="20"/>
        </w:rPr>
        <w:t xml:space="preserve">IQM has agreed to pay all fees and expenses it incurs incident to the registration of the shares being offered under this resale prospectus. However, the Selling Securityholders and subsequent purchaser is responsible for paying any discount, and similar selling expenses it incurs.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36013_26"/>
      <w:bookmarkEnd w:id="28"/>
      <w:r>
        <w:rPr>
          <w:rFonts w:ascii="Times New Roman" w:hAnsi="Times New Roman"/>
          <w:b/>
          <w:sz w:val="20"/>
        </w:rPr>
        <w:t xml:space="preserve">EXPENSES RELATED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an itemization of the total expenses that are expected to be incurred by us in connection with the offer and sale of the securities being registered. With the exception of the SEC registration fee, all amounts are estimates.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2"/>
        <w:gridCol w:w="404"/>
        <w:gridCol w:w="141"/>
        <w:gridCol w:w="1339"/>
        <w:gridCol w:w="63"/>
      </w:tblGrid>
      <w:tr>
        <w:trPr/>
        <w:tc>
          <w:tcPr>
            <w:tcW w:w="4992"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2"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 Dollar</w:t>
            </w:r>
          </w:p>
        </w:tc>
        <w:tc>
          <w:tcPr>
            <w:tcW w:w="63" w:type="dxa"/>
            <w:tcBorders/>
            <w:vAlign w:val="bottom"/>
          </w:tcPr>
          <w:p>
            <w:pPr>
              <w:pStyle w:val="TableContents"/>
              <w:bidi w:val="0"/>
              <w:spacing w:before="0" w:after="283"/>
              <w:jc w:val="left"/>
              <w:rPr/>
            </w:pPr>
            <w:r>
              <w:rPr/>
              <w:t> </w:t>
            </w:r>
          </w:p>
        </w:tc>
      </w:tr>
      <w:tr>
        <w:trPr/>
        <w:tc>
          <w:tcPr>
            <w:tcW w:w="4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14,656.34</w:t>
            </w:r>
          </w:p>
        </w:tc>
        <w:tc>
          <w:tcPr>
            <w:tcW w:w="63" w:type="dxa"/>
            <w:tcBorders/>
            <w:shd w:fill="CCEEFF" w:val="clear"/>
            <w:vAlign w:val="bottom"/>
          </w:tcPr>
          <w:p>
            <w:pPr>
              <w:pStyle w:val="TableContents"/>
              <w:bidi w:val="0"/>
              <w:spacing w:before="0" w:after="283"/>
              <w:jc w:val="left"/>
              <w:rPr/>
            </w:pPr>
            <w:r>
              <w:rPr/>
              <w:t> </w:t>
            </w:r>
          </w:p>
        </w:tc>
      </w:tr>
      <w:tr>
        <w:trPr/>
        <w:tc>
          <w:tcPr>
            <w:tcW w:w="4992"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220,000.00</w:t>
            </w:r>
          </w:p>
        </w:tc>
        <w:tc>
          <w:tcPr>
            <w:tcW w:w="63" w:type="dxa"/>
            <w:tcBorders/>
            <w:vAlign w:val="bottom"/>
          </w:tcPr>
          <w:p>
            <w:pPr>
              <w:pStyle w:val="TableContents"/>
              <w:bidi w:val="0"/>
              <w:spacing w:before="0" w:after="283"/>
              <w:jc w:val="left"/>
              <w:rPr/>
            </w:pPr>
            <w:r>
              <w:rPr/>
              <w:t> </w:t>
            </w:r>
          </w:p>
        </w:tc>
      </w:tr>
      <w:tr>
        <w:trPr/>
        <w:tc>
          <w:tcPr>
            <w:tcW w:w="4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100,000.00</w:t>
            </w:r>
          </w:p>
        </w:tc>
        <w:tc>
          <w:tcPr>
            <w:tcW w:w="63" w:type="dxa"/>
            <w:tcBorders/>
            <w:shd w:fill="CCEEFF" w:val="clear"/>
            <w:vAlign w:val="bottom"/>
          </w:tcPr>
          <w:p>
            <w:pPr>
              <w:pStyle w:val="TableContents"/>
              <w:bidi w:val="0"/>
              <w:spacing w:before="0" w:after="283"/>
              <w:jc w:val="left"/>
              <w:rPr/>
            </w:pPr>
            <w:r>
              <w:rPr/>
              <w:t> </w:t>
            </w:r>
          </w:p>
        </w:tc>
      </w:tr>
      <w:tr>
        <w:trPr/>
        <w:tc>
          <w:tcPr>
            <w:tcW w:w="4992"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85,000.00</w:t>
            </w:r>
          </w:p>
        </w:tc>
        <w:tc>
          <w:tcPr>
            <w:tcW w:w="63" w:type="dxa"/>
            <w:tcBorders/>
            <w:vAlign w:val="bottom"/>
          </w:tcPr>
          <w:p>
            <w:pPr>
              <w:pStyle w:val="TableContents"/>
              <w:bidi w:val="0"/>
              <w:spacing w:before="0" w:after="283"/>
              <w:jc w:val="left"/>
              <w:rPr/>
            </w:pPr>
            <w:r>
              <w:rPr/>
              <w:t> </w:t>
            </w:r>
          </w:p>
        </w:tc>
      </w:tr>
      <w:tr>
        <w:trPr/>
        <w:tc>
          <w:tcPr>
            <w:tcW w:w="4992"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339" w:type="dxa"/>
            <w:tcBorders/>
            <w:shd w:fill="CCEEFF" w:val="clear"/>
            <w:vAlign w:val="bottom"/>
          </w:tcPr>
          <w:p>
            <w:pPr>
              <w:pStyle w:val="TableContents"/>
              <w:bidi w:val="0"/>
              <w:spacing w:before="0" w:after="283"/>
              <w:jc w:val="right"/>
              <w:rPr>
                <w:b/>
              </w:rPr>
            </w:pPr>
            <w:r>
              <w:rPr>
                <w:b/>
              </w:rPr>
              <w:t>419,656.34</w:t>
            </w:r>
          </w:p>
        </w:tc>
        <w:tc>
          <w:tcPr>
            <w:tcW w:w="63" w:type="dxa"/>
            <w:tcBorders/>
            <w:shd w:fill="CCEEFF" w:val="clear"/>
            <w:vAlign w:val="bottom"/>
          </w:tcPr>
          <w:p>
            <w:pPr>
              <w:pStyle w:val="TableContents"/>
              <w:bidi w:val="0"/>
              <w:spacing w:before="0" w:after="283"/>
              <w:jc w:val="left"/>
              <w:rPr/>
            </w:pPr>
            <w:r>
              <w:rPr/>
              <w:t> </w:t>
            </w:r>
          </w:p>
        </w:tc>
      </w:tr>
      <w:tr>
        <w:trPr/>
        <w:tc>
          <w:tcPr>
            <w:tcW w:w="4992"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Discounts, concessions, commissions and similar selling expenses attributable to the resale of securities covered by this prospectus will be borne by the Selling Securityholders. We will pay all expenses (other than discounts, concessions, commissions and similar selling expenses) relating to the registration of the securities with the SEC, as estimated in the table above. </w:t>
      </w:r>
    </w:p>
    <w:p>
      <w:pPr>
        <w:pStyle w:val="TextBody"/>
        <w:bidi w:val="0"/>
        <w:spacing w:before="480" w:after="0"/>
        <w:jc w:val="center"/>
        <w:rPr>
          <w:rFonts w:ascii="Times New Roman" w:hAnsi="Times New Roman"/>
          <w:b/>
          <w:sz w:val="20"/>
        </w:rPr>
      </w:pPr>
      <w:bookmarkStart w:id="29" w:name="tx36013_27"/>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relating to U.S. law will be passed upon for us by Cooley LLP, New York, New York. Certain Finnish legal matters, including the legality of the Shares, will be passed upon for us by Borenius Attorneys Ltd, Helsinki, Finland. </w:t>
      </w:r>
    </w:p>
    <w:p>
      <w:pPr>
        <w:pStyle w:val="TextBody"/>
        <w:bidi w:val="0"/>
        <w:spacing w:before="480" w:after="0"/>
        <w:jc w:val="center"/>
        <w:rPr>
          <w:rFonts w:ascii="Times New Roman" w:hAnsi="Times New Roman"/>
          <w:b/>
          <w:sz w:val="20"/>
        </w:rPr>
      </w:pPr>
      <w:bookmarkStart w:id="30" w:name="tx36013_28"/>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Real Asset Acquisition Corp. as of December 31, 2025 and 2024, and for the year ended December 31, 2025, and for the period from December 9, 2024 (inception) through December 31, 2024 appearing in this prospectus have been audited by WithumSmith+Brown, PC, an independent registered public accounting firm, as set forth in their report thereon, appearing elsewhere herein, and are included in reliance on such report given the authority of such firm as expert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IQM Finland Oy at December 31, 2025 and 2024, and for each of the two years in the period ended December 31, 2025 appearing in this Prospectus and Registration Statement have been audited by Ernst &amp; Young AB,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31" w:name="tx36013_29"/>
      <w:bookmarkEnd w:id="31"/>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IQM is a Finnish corporation. Most of its directors and executive officers, including the persons who signed the registration statement of which this prospectus is a part, and certain experts named in this prospectus, reside outside the United States, and all or a substantial portion of IQM’s assets and the assets of those persons are located outside the United States. As a result, it may be difficult for you to serve legal process on IQM or its management or have any of them appear in a U.S.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36013_30"/>
      <w:bookmarkEnd w:id="3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F-1, including exhibits, under the Securities Act with respect to the securities being offered by this prospectus. This prospectus does not contain all of the information included in the registration statement. For further information pertaining to us and our securities, you should refer to the registration statement and our exhibits.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Shares.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36013_31"/>
      <w:bookmarkStart w:id="34" w:name="index"/>
      <w:bookmarkEnd w:id="33"/>
      <w:bookmarkEnd w:id="34"/>
      <w:r>
        <w:rPr>
          <w:rFonts w:ascii="Times New Roman" w:hAnsi="Times New Roman"/>
          <w:b/>
          <w:sz w:val="20"/>
        </w:rPr>
        <w:t xml:space="preserve">INDEX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Audited Financial Statements of Real Asset Acquisition Corp. as of December 31, 2025 and 2024, and for the year ended December 31, 2025, and for the period from December 9, 2024 (inception) through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2"/>
        <w:gridCol w:w="154"/>
        <w:gridCol w:w="60"/>
        <w:gridCol w:w="366"/>
        <w:gridCol w:w="63"/>
      </w:tblGrid>
      <w:tr>
        <w:trPr/>
        <w:tc>
          <w:tcPr>
            <w:tcW w:w="9562"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62" w:type="dxa"/>
            <w:tcBorders/>
            <w:vAlign w:val="bottom"/>
          </w:tcPr>
          <w:p>
            <w:pPr>
              <w:pStyle w:val="TableContents"/>
              <w:bidi w:val="0"/>
              <w:spacing w:before="0" w:after="0"/>
              <w:jc w:val="left"/>
              <w:rPr/>
            </w:pPr>
            <w:hyperlink w:anchor="fin36013_1">
              <w:r>
                <w:rPr>
                  <w:rStyle w:val="InternetLink"/>
                  <w:rFonts w:ascii="Times New Roman" w:hAnsi="Times New Roman"/>
                  <w:sz w:val="20"/>
                </w:rPr>
                <w:t>Report of Independent Registered Public Accounting Firm (PCAOB ID 100)</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2">
              <w:r>
                <w:rPr>
                  <w:rStyle w:val="InternetLink"/>
                  <w:rFonts w:ascii="Times New Roman" w:hAnsi="Times New Roman"/>
                  <w:sz w:val="20"/>
                </w:rPr>
                <w:t>Balance Sheets as of December 31, 2025 and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3">
              <w:r>
                <w:rPr>
                  <w:rStyle w:val="InternetLink"/>
                  <w:rFonts w:ascii="Times New Roman" w:hAnsi="Times New Roman"/>
                  <w:sz w:val="20"/>
                </w:rPr>
                <w:t>Statements of Operations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4">
              <w:r>
                <w:rPr>
                  <w:rStyle w:val="InternetLink"/>
                  <w:rFonts w:ascii="Times New Roman" w:hAnsi="Times New Roman"/>
                  <w:sz w:val="20"/>
                </w:rPr>
                <w:t>Statements of Changes in Stockholders’ Equity (Deficit)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5">
              <w:r>
                <w:rPr>
                  <w:rStyle w:val="InternetLink"/>
                  <w:rFonts w:ascii="Times New Roman" w:hAnsi="Times New Roman"/>
                  <w:sz w:val="20"/>
                </w:rPr>
                <w:t>Statements of Cash Flows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6">
              <w:r>
                <w:rPr>
                  <w:rStyle w:val="InternetLink"/>
                  <w:rFonts w:ascii="Times New Roman" w:hAnsi="Times New Roman"/>
                  <w:sz w:val="20"/>
                </w:rPr>
                <w:t>Notes to the Financial Statements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Unaudited Interim Condensed Financial Statements of Real Asset Acquisition Corp. as of June 30, 2026, and for the three and six months ended June 30, 2026 and June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36013_1011">
              <w:r>
                <w:rPr>
                  <w:rStyle w:val="InternetLink"/>
                  <w:rFonts w:ascii="Times New Roman" w:hAnsi="Times New Roman"/>
                  <w:sz w:val="20"/>
                </w:rPr>
                <w:t>Condensed Balance Sheets as of June  30, 2026 (unaudited) and December 31,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F-24</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2">
              <w:r>
                <w:rPr>
                  <w:rStyle w:val="InternetLink"/>
                  <w:rFonts w:ascii="Times New Roman" w:hAnsi="Times New Roman"/>
                  <w:sz w:val="20"/>
                </w:rPr>
                <w:t>Unaudited Condensed Statements of Operations for the Three and Six Months Ended June 30, 2026</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3">
              <w:r>
                <w:rPr>
                  <w:rStyle w:val="InternetLink"/>
                  <w:rFonts w:ascii="Times New Roman" w:hAnsi="Times New Roman"/>
                  <w:sz w:val="20"/>
                </w:rPr>
                <w:t>Unaudited Condensed Statements of Changes in Shareholders’ Deficit for the Three and Six Months Ended June 30, 2026</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4">
              <w:r>
                <w:rPr>
                  <w:rStyle w:val="InternetLink"/>
                  <w:rFonts w:ascii="Times New Roman" w:hAnsi="Times New Roman"/>
                  <w:sz w:val="20"/>
                </w:rPr>
                <w:t>Unaudited Condensed Statements of Cash Flows for the Six Months Ended June 30, 2026</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5">
              <w:r>
                <w:rPr>
                  <w:rStyle w:val="InternetLink"/>
                  <w:rFonts w:ascii="Times New Roman" w:hAnsi="Times New Roman"/>
                  <w:sz w:val="20"/>
                </w:rPr>
                <w:t>Notes to Unaudited Condensed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Audited Consolidated Financial Statements of IQM Finland Oy (now IQM Quantum Computers Oyj) as of December 31, 2025 and 2024, and for each of the two years in the period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36013_7">
              <w:r>
                <w:rPr>
                  <w:rStyle w:val="InternetLink"/>
                  <w:rFonts w:ascii="Times New Roman" w:hAnsi="Times New Roman"/>
                  <w:sz w:val="20"/>
                </w:rPr>
                <w:t>Report of Independent Registered Public Accounting Firm (PCAOB ID 1433)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7">
              <w:r>
                <w:rPr>
                  <w:rStyle w:val="InternetLink"/>
                  <w:rFonts w:ascii="Times New Roman" w:hAnsi="Times New Roman"/>
                  <w:sz w:val="20"/>
                </w:rPr>
                <w:t>Consolidated Statements of Loss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8">
              <w:r>
                <w:rPr>
                  <w:rStyle w:val="InternetLink"/>
                  <w:rFonts w:ascii="Times New Roman" w:hAnsi="Times New Roman"/>
                  <w:sz w:val="20"/>
                </w:rPr>
                <w:t>Consolidated Statements of Comprehensive Loss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9">
              <w:r>
                <w:rPr>
                  <w:rStyle w:val="InternetLink"/>
                  <w:rFonts w:ascii="Times New Roman" w:hAnsi="Times New Roman"/>
                  <w:sz w:val="20"/>
                </w:rPr>
                <w:t>Consolidated Statements of Financial Position as of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10">
              <w:r>
                <w:rPr>
                  <w:rStyle w:val="InternetLink"/>
                  <w:rFonts w:ascii="Times New Roman" w:hAnsi="Times New Roman"/>
                  <w:sz w:val="20"/>
                </w:rPr>
                <w:t>Consolidated Statements of Changes in Equity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11">
              <w:r>
                <w:rPr>
                  <w:rStyle w:val="InternetLink"/>
                  <w:rFonts w:ascii="Times New Roman" w:hAnsi="Times New Roman"/>
                  <w:sz w:val="20"/>
                </w:rPr>
                <w:t>Consolidated Statements of Cashflows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F-50</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12">
              <w:r>
                <w:rPr>
                  <w:rStyle w:val="InternetLink"/>
                  <w:rFonts w:ascii="Times New Roman" w:hAnsi="Times New Roman"/>
                  <w:sz w:val="20"/>
                </w:rPr>
                <w:t>Notes to the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Unaudited Interim Condensed Consolidated Financial Statements of IQM Finland Oy (now IQM Quantum Computers Oyj) as of June 30, 2026 and December 31, 2025, and for the three and six month periods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36013_14">
              <w:r>
                <w:rPr>
                  <w:rStyle w:val="InternetLink"/>
                  <w:rFonts w:ascii="Times New Roman" w:hAnsi="Times New Roman"/>
                  <w:sz w:val="20"/>
                </w:rPr>
                <w:t>Unaudited Interim Consolidated Statement of Loss for the three months and six months ended June 30, 2026 and June 30,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F-91</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5">
              <w:r>
                <w:rPr>
                  <w:rStyle w:val="InternetLink"/>
                  <w:rFonts w:ascii="Times New Roman" w:hAnsi="Times New Roman"/>
                  <w:sz w:val="20"/>
                </w:rPr>
                <w:t>Unaudited Interim Condensed Consolidated Statement of Comprehensive Loss for the three months and six months ended June 30, 2026 and June 30,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6">
              <w:r>
                <w:rPr>
                  <w:rStyle w:val="InternetLink"/>
                  <w:rFonts w:ascii="Times New Roman" w:hAnsi="Times New Roman"/>
                  <w:sz w:val="20"/>
                </w:rPr>
                <w:t>Unaudited Interim Condensed Consolidated Statement of Financial Position as of June 30, 2026 and December 31,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F-93</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7">
              <w:r>
                <w:rPr>
                  <w:rStyle w:val="InternetLink"/>
                  <w:rFonts w:ascii="Times New Roman" w:hAnsi="Times New Roman"/>
                  <w:sz w:val="20"/>
                </w:rPr>
                <w:t>Unaudited Interim Condensed Consolidated Statement of Changes in Equity for the three and six months ended June 30, 2026 and June 30,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F-94</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8">
              <w:r>
                <w:rPr>
                  <w:rStyle w:val="InternetLink"/>
                  <w:rFonts w:ascii="Times New Roman" w:hAnsi="Times New Roman"/>
                  <w:sz w:val="20"/>
                </w:rPr>
                <w:t>Unaudited Interim Condensed Consolidated Statement of Cashflows for the six months ended June 30, 2026 and June 30,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F-95</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9">
              <w:r>
                <w:rPr>
                  <w:rStyle w:val="InternetLink"/>
                  <w:rFonts w:ascii="Times New Roman" w:hAnsi="Times New Roman"/>
                  <w:sz w:val="20"/>
                </w:rPr>
                <w:t>Notes to the Unaudited Interim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fin36013_1"/>
      <w:bookmarkStart w:id="36" w:name="fin36013_207"/>
      <w:bookmarkStart w:id="37" w:name="toc36013_40"/>
      <w:bookmarkEnd w:id="35"/>
      <w:bookmarkEnd w:id="36"/>
      <w:bookmarkEnd w:id="37"/>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Shareholders of </w:t>
      </w:r>
    </w:p>
    <w:p>
      <w:pPr>
        <w:pStyle w:val="TextBody"/>
        <w:bidi w:val="0"/>
        <w:spacing w:before="0" w:after="0"/>
        <w:jc w:val="left"/>
        <w:rPr>
          <w:rFonts w:ascii="Times New Roman" w:hAnsi="Times New Roman"/>
          <w:sz w:val="20"/>
        </w:rPr>
      </w:pPr>
      <w:r>
        <w:rPr>
          <w:rFonts w:ascii="Times New Roman" w:hAnsi="Times New Roman"/>
          <w:sz w:val="20"/>
        </w:rPr>
        <w:t xml:space="preserve">Real Asset Acquisition Corp.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Real Asset Acquisition Corp. as of December 31, 2025 and 2024, and the related statements of operations, changes in shareholders’ deficit, and cash flows for the year ended December 31, 2025, and for the period from December 9, 2024 (inception) through December 31, 2024, and the related notes (collectively referred to as the financial statements). In our opinion, the financial statements present fairly, in all material respects, the financial position of Real Asset Acquisition Corp. as of December 31, 2025 and 2024, and the results of its operations and its cash flows for the year ended December 31, 2025, and for the period from December 9, 2024 (inception) through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if the Company is unable to complete a business combination by October 30, 2026, (or January 30, 2027, if the Company has executed a definitive agreement for an initial business combination within 18 months of the Initial Public Offering),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entity’s management. Our responsibility is to express an opinion on the entity’s financial statements based on our audits. We are a public accounting firm registered with the Public Company Accounting Oversight Board (United States) (“PCAOB”) and are required to be independent with respect to Real Asset Acquisition Corp.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Real Asset Acquisition Corp.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Real Asset Acquisition Corp.’s auditor since 2025. </w:t>
      </w:r>
    </w:p>
    <w:p>
      <w:pPr>
        <w:pStyle w:val="TextBody"/>
        <w:bidi w:val="0"/>
        <w:spacing w:before="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March 2, 2026 </w:t>
      </w:r>
    </w:p>
    <w:p>
      <w:pPr>
        <w:pStyle w:val="TextBody"/>
        <w:bidi w:val="0"/>
        <w:spacing w:before="0" w:after="0"/>
        <w:jc w:val="left"/>
        <w:rPr>
          <w:rFonts w:ascii="Times New Roman" w:hAnsi="Times New Roman"/>
          <w:sz w:val="20"/>
        </w:rPr>
      </w:pPr>
      <w:r>
        <w:rPr>
          <w:rFonts w:ascii="Times New Roman" w:hAnsi="Times New Roman"/>
          <w:sz w:val="20"/>
        </w:rPr>
        <w:t xml:space="preserve">PCAOB ID Number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38" w:name="fin36013_2"/>
      <w:bookmarkEnd w:id="38"/>
      <w:r>
        <w:rPr>
          <w:rFonts w:ascii="Times New Roman" w:hAnsi="Times New Roman"/>
          <w:b/>
          <w:sz w:val="20"/>
        </w:rPr>
        <w:t xml:space="preserve">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94"/>
        <w:gridCol w:w="224"/>
        <w:gridCol w:w="140"/>
        <w:gridCol w:w="1298"/>
        <w:gridCol w:w="163"/>
        <w:gridCol w:w="191"/>
        <w:gridCol w:w="140"/>
        <w:gridCol w:w="687"/>
        <w:gridCol w:w="168"/>
      </w:tblGrid>
      <w:tr>
        <w:trPr/>
        <w:tc>
          <w:tcPr>
            <w:tcW w:w="719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9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6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1,077,837</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65,625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44,081</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1,187,543</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25,000</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177,124,457</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21,734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178,333,734</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7" w:type="dxa"/>
            <w:tcBorders/>
            <w:vAlign w:val="bottom"/>
          </w:tcPr>
          <w:p>
            <w:pPr>
              <w:pStyle w:val="TableContents"/>
              <w:bidi w:val="0"/>
              <w:spacing w:before="0" w:after="283"/>
              <w:jc w:val="right"/>
              <w:rPr>
                <w:b/>
              </w:rPr>
            </w:pPr>
            <w:r>
              <w:rPr>
                <w:b/>
              </w:rPr>
              <w:t>25,000</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EQUITY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103,059</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766</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38,345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321</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141,404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6,900,000</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7,041,404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7)</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17,250,000 and 0 shares at redemption value of $10.27 and $0 per share at December 31, 2025 and 2024, respectively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177,124,457</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 (Deficit)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or outstanding at December 31, 2025 and 2024</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or outstanding at December 31, 2025 and 2024 (excluding 17,250,000 Class A ordinary shares subject to possible redemption)</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at December 31, 2025 and 2024 (1)</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575</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575</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24,425</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(5,832,702</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 (Deficit)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(5,832,127</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23,913</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EQUITY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98" w:type="dxa"/>
            <w:tcBorders/>
            <w:shd w:fill="CCEEFF" w:val="clear"/>
            <w:vAlign w:val="bottom"/>
          </w:tcPr>
          <w:p>
            <w:pPr>
              <w:pStyle w:val="TableContents"/>
              <w:bidi w:val="0"/>
              <w:spacing w:before="0" w:after="283"/>
              <w:jc w:val="right"/>
              <w:rPr>
                <w:b/>
              </w:rPr>
            </w:pPr>
            <w:r>
              <w:rPr>
                <w:b/>
              </w:rPr>
              <w:t>178,333,734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7" w:type="dxa"/>
            <w:tcBorders/>
            <w:shd w:fill="CCEEFF" w:val="clear"/>
            <w:vAlign w:val="bottom"/>
          </w:tcPr>
          <w:p>
            <w:pPr>
              <w:pStyle w:val="TableContents"/>
              <w:bidi w:val="0"/>
              <w:spacing w:before="0" w:after="283"/>
              <w:jc w:val="right"/>
              <w:rPr>
                <w:b/>
              </w:rPr>
            </w:pPr>
            <w:r>
              <w:rPr>
                <w:b/>
              </w:rPr>
              <w:t>25,000</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December 31, 2024, included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39" w:name="fin36013_3"/>
      <w:bookmarkEnd w:id="39"/>
      <w:r>
        <w:rPr>
          <w:rFonts w:ascii="Times New Roman" w:hAnsi="Times New Roman"/>
          <w:b/>
          <w:sz w:val="20"/>
        </w:rPr>
        <w:t xml:space="preserve">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96"/>
        <w:gridCol w:w="368"/>
        <w:gridCol w:w="159"/>
        <w:gridCol w:w="1325"/>
        <w:gridCol w:w="155"/>
        <w:gridCol w:w="325"/>
        <w:gridCol w:w="176"/>
        <w:gridCol w:w="1242"/>
        <w:gridCol w:w="159"/>
      </w:tblGrid>
      <w:tr>
        <w:trPr/>
        <w:tc>
          <w:tcPr>
            <w:tcW w:w="6296"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9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374,202</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1,087</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b/>
              </w:rPr>
            </w:pPr>
            <w:r>
              <w:rPr>
                <w:b/>
              </w:rPr>
              <w:t>(374,202</w:t>
            </w:r>
          </w:p>
        </w:tc>
        <w:tc>
          <w:tcPr>
            <w:tcW w:w="155" w:type="dxa"/>
            <w:tcBorders/>
            <w:vAlign w:val="bottom"/>
          </w:tcPr>
          <w:p>
            <w:pPr>
              <w:pStyle w:val="TableContents"/>
              <w:bidi w:val="0"/>
              <w:spacing w:before="0" w:after="283"/>
              <w:jc w:val="left"/>
              <w:rPr>
                <w:b/>
              </w:rPr>
            </w:pPr>
            <w:r>
              <w:rPr>
                <w:b/>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(1,087</w:t>
            </w:r>
          </w:p>
        </w:tc>
        <w:tc>
          <w:tcPr>
            <w:tcW w:w="159" w:type="dxa"/>
            <w:tcBorders/>
            <w:vAlign w:val="bottom"/>
          </w:tcPr>
          <w:p>
            <w:pPr>
              <w:pStyle w:val="TableContents"/>
              <w:bidi w:val="0"/>
              <w:spacing w:before="0" w:after="283"/>
              <w:jc w:val="left"/>
              <w:rPr>
                <w:b/>
              </w:rPr>
            </w:pPr>
            <w:r>
              <w:rPr>
                <w:b/>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96"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4,606,744</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17,354</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4,249,896</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(1,087</w:t>
            </w:r>
          </w:p>
        </w:tc>
        <w:tc>
          <w:tcPr>
            <w:tcW w:w="159"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Class A ordinary shares</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11,626,027</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Class A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weighted average shares outstanding, Class B ordinary shares(1)</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5,505,479</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(loss) per Class B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weighted average shares outstanding, Class B ordinary shares(1)</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5,565,068</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(loss) per Class B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basic and diluted net income (loss) per ordinary share for the year ended December 31, 2025 and for the period from December 9, 2024 (inception) through December 31, 2024 excluded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0" w:name="fin36013_4"/>
      <w:bookmarkEnd w:id="40"/>
      <w:r>
        <w:rPr>
          <w:rFonts w:ascii="Times New Roman" w:hAnsi="Times New Roman"/>
          <w:b/>
          <w:sz w:val="20"/>
        </w:rPr>
        <w:t xml:space="preserve">STATEMENTS OF CHANGES IN SHAREHOLDERS’ EQUITY (DEFICIT)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5"/>
        <w:gridCol w:w="204"/>
        <w:gridCol w:w="60"/>
        <w:gridCol w:w="1006"/>
        <w:gridCol w:w="60"/>
        <w:gridCol w:w="204"/>
        <w:gridCol w:w="231"/>
        <w:gridCol w:w="639"/>
        <w:gridCol w:w="60"/>
        <w:gridCol w:w="204"/>
        <w:gridCol w:w="140"/>
        <w:gridCol w:w="1104"/>
        <w:gridCol w:w="155"/>
        <w:gridCol w:w="152"/>
        <w:gridCol w:w="145"/>
        <w:gridCol w:w="1283"/>
        <w:gridCol w:w="155"/>
        <w:gridCol w:w="152"/>
        <w:gridCol w:w="153"/>
        <w:gridCol w:w="1341"/>
        <w:gridCol w:w="162"/>
      </w:tblGrid>
      <w:tr>
        <w:trPr/>
        <w:tc>
          <w:tcPr>
            <w:tcW w:w="259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bottom"/>
          </w:tcPr>
          <w:p>
            <w:pPr>
              <w:pStyle w:val="TableContents"/>
              <w:bidi w:val="0"/>
              <w:spacing w:before="0" w:after="283"/>
              <w:jc w:val="center"/>
              <w:rPr/>
            </w:pPr>
            <w:r>
              <w:rPr>
                <w:b/>
              </w:rPr>
              <w:t>Class B Ordinary</w:t>
            </w:r>
            <w:r>
              <w:rPr/>
              <w:br/>
            </w:r>
            <w:r>
              <w:rPr>
                <w:b/>
              </w:rPr>
              <w:t>Shares(1)</w:t>
            </w:r>
          </w:p>
        </w:tc>
        <w:tc>
          <w:tcPr>
            <w:tcW w:w="60" w:type="dxa"/>
            <w:tcBorders/>
            <w:vAlign w:val="bottom"/>
          </w:tcPr>
          <w:p>
            <w:pPr>
              <w:pStyle w:val="TableContents"/>
              <w:bidi w:val="0"/>
              <w:spacing w:before="0" w:after="283"/>
              <w:jc w:val="left"/>
              <w:rPr/>
            </w:pPr>
            <w:r>
              <w:rPr/>
              <w:t> </w:t>
            </w:r>
          </w:p>
        </w:tc>
        <w:tc>
          <w:tcPr>
            <w:tcW w:w="204" w:type="dxa"/>
            <w:vMerge w:val="restart"/>
            <w:tcBorders/>
            <w:vAlign w:val="bottom"/>
          </w:tcPr>
          <w:p>
            <w:pPr>
              <w:pStyle w:val="TableContents"/>
              <w:bidi w:val="0"/>
              <w:spacing w:before="0" w:after="283"/>
              <w:jc w:val="left"/>
              <w:rPr/>
            </w:pPr>
            <w:r>
              <w:rPr/>
              <w:t>  </w:t>
            </w:r>
          </w:p>
        </w:tc>
        <w:tc>
          <w:tcPr>
            <w:tcW w:w="124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152" w:type="dxa"/>
            <w:vMerge w:val="restart"/>
            <w:tcBorders/>
            <w:vAlign w:val="bottom"/>
          </w:tcPr>
          <w:p>
            <w:pPr>
              <w:pStyle w:val="TableContents"/>
              <w:bidi w:val="0"/>
              <w:spacing w:before="0" w:after="283"/>
              <w:jc w:val="left"/>
              <w:rPr/>
            </w:pPr>
            <w:r>
              <w:rPr/>
              <w:t> </w:t>
            </w:r>
          </w:p>
        </w:tc>
        <w:tc>
          <w:tcPr>
            <w:tcW w:w="142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52" w:type="dxa"/>
            <w:vMerge w:val="restart"/>
            <w:tcBorders/>
            <w:vAlign w:val="bottom"/>
          </w:tcPr>
          <w:p>
            <w:pPr>
              <w:pStyle w:val="TableContents"/>
              <w:bidi w:val="0"/>
              <w:spacing w:before="0" w:after="283"/>
              <w:jc w:val="left"/>
              <w:rPr/>
            </w:pPr>
            <w:r>
              <w:rPr/>
              <w:t> </w:t>
            </w:r>
          </w:p>
        </w:tc>
        <w:tc>
          <w:tcPr>
            <w:tcW w:w="149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Equity</w:t>
            </w:r>
            <w:r>
              <w:rPr/>
              <w:br/>
            </w:r>
            <w:r>
              <w:rPr>
                <w:b/>
              </w:rPr>
              <w:t>(Deficit)</w:t>
            </w:r>
          </w:p>
        </w:tc>
        <w:tc>
          <w:tcPr>
            <w:tcW w:w="162" w:type="dxa"/>
            <w:vMerge w:val="restart"/>
            <w:tcBorders/>
            <w:vAlign w:val="bottom"/>
          </w:tcPr>
          <w:p>
            <w:pPr>
              <w:pStyle w:val="TableContents"/>
              <w:bidi w:val="0"/>
              <w:spacing w:before="0" w:after="283"/>
              <w:jc w:val="left"/>
              <w:rPr/>
            </w:pPr>
            <w:r>
              <w:rPr/>
              <w:t> </w:t>
            </w:r>
          </w:p>
        </w:tc>
      </w:tr>
      <w:tr>
        <w:trPr/>
        <w:tc>
          <w:tcPr>
            <w:tcW w:w="259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04" w:type="dxa"/>
            <w:vMerge w:val="continue"/>
            <w:tcBorders/>
            <w:vAlign w:val="bottom"/>
          </w:tcPr>
          <w:p>
            <w:pPr>
              <w:pStyle w:val="Normal"/>
              <w:bidi w:val="0"/>
              <w:jc w:val="left"/>
              <w:rPr/>
            </w:pPr>
            <w:r>
              <w:rPr/>
            </w:r>
          </w:p>
        </w:tc>
        <w:tc>
          <w:tcPr>
            <w:tcW w:w="1244"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52" w:type="dxa"/>
            <w:vMerge w:val="continue"/>
            <w:tcBorders>
              <w:bottom w:val="single" w:sz="8" w:space="0" w:color="000000"/>
            </w:tcBorders>
            <w:tcMar>
              <w:bottom w:w="28" w:type="dxa"/>
            </w:tcMar>
            <w:vAlign w:val="bottom"/>
          </w:tcPr>
          <w:p>
            <w:pPr>
              <w:pStyle w:val="Normal"/>
              <w:bidi w:val="0"/>
              <w:jc w:val="left"/>
              <w:rPr/>
            </w:pPr>
            <w:r>
              <w:rPr/>
            </w:r>
          </w:p>
        </w:tc>
        <w:tc>
          <w:tcPr>
            <w:tcW w:w="1428"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52" w:type="dxa"/>
            <w:vMerge w:val="continue"/>
            <w:tcBorders/>
            <w:vAlign w:val="bottom"/>
          </w:tcPr>
          <w:p>
            <w:pPr>
              <w:pStyle w:val="Normal"/>
              <w:bidi w:val="0"/>
              <w:jc w:val="left"/>
              <w:rPr/>
            </w:pPr>
            <w:r>
              <w:rPr/>
            </w:r>
          </w:p>
        </w:tc>
        <w:tc>
          <w:tcPr>
            <w:tcW w:w="1494"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25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January 1, 2025</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(1,087</w:t>
            </w:r>
          </w:p>
        </w:tc>
        <w:tc>
          <w:tcPr>
            <w:tcW w:w="155" w:type="dxa"/>
            <w:tcBorders/>
            <w:shd w:fill="CCEEFF" w:val="clear"/>
            <w:vAlign w:val="bottom"/>
          </w:tcPr>
          <w:p>
            <w:pPr>
              <w:pStyle w:val="TableContents"/>
              <w:bidi w:val="0"/>
              <w:spacing w:before="0" w:after="283"/>
              <w:jc w:val="left"/>
              <w:rPr>
                <w:b/>
              </w:rPr>
            </w:pPr>
            <w:r>
              <w:rPr>
                <w:b/>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41" w:type="dxa"/>
            <w:tcBorders/>
            <w:shd w:fill="CCEEFF" w:val="clear"/>
            <w:vAlign w:val="bottom"/>
          </w:tcPr>
          <w:p>
            <w:pPr>
              <w:pStyle w:val="TableContents"/>
              <w:bidi w:val="0"/>
              <w:spacing w:before="0" w:after="283"/>
              <w:jc w:val="right"/>
              <w:rPr>
                <w:b/>
              </w:rPr>
            </w:pPr>
            <w:r>
              <w:rPr>
                <w:b/>
              </w:rPr>
              <w:t>23,913</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 Warrants, less issuance costs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5,432,207</w:t>
            </w:r>
          </w:p>
        </w:tc>
        <w:tc>
          <w:tcPr>
            <w:tcW w:w="162"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Public Warrants, less issuance costs</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323,195</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possible redemption to redemption value</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(5,779,827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(10,081,511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(15,861,338</w:t>
            </w:r>
          </w:p>
        </w:tc>
        <w:tc>
          <w:tcPr>
            <w:tcW w:w="162"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4,249,896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4,249,896</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2025</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9"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83" w:type="dxa"/>
            <w:tcBorders/>
            <w:vAlign w:val="bottom"/>
          </w:tcPr>
          <w:p>
            <w:pPr>
              <w:pStyle w:val="TableContents"/>
              <w:bidi w:val="0"/>
              <w:spacing w:before="0" w:after="283"/>
              <w:jc w:val="right"/>
              <w:rPr>
                <w:b/>
              </w:rPr>
            </w:pPr>
            <w:r>
              <w:rPr>
                <w:b/>
              </w:rPr>
              <w:t>(5,832,702</w:t>
            </w:r>
          </w:p>
        </w:tc>
        <w:tc>
          <w:tcPr>
            <w:tcW w:w="155" w:type="dxa"/>
            <w:tcBorders/>
            <w:vAlign w:val="bottom"/>
          </w:tcPr>
          <w:p>
            <w:pPr>
              <w:pStyle w:val="TableContents"/>
              <w:bidi w:val="0"/>
              <w:spacing w:before="0" w:after="283"/>
              <w:jc w:val="left"/>
              <w:rPr>
                <w:b/>
              </w:rPr>
            </w:pPr>
            <w:r>
              <w:rPr>
                <w:b/>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341" w:type="dxa"/>
            <w:tcBorders/>
            <w:vAlign w:val="bottom"/>
          </w:tcPr>
          <w:p>
            <w:pPr>
              <w:pStyle w:val="TableContents"/>
              <w:bidi w:val="0"/>
              <w:spacing w:before="0" w:after="283"/>
              <w:jc w:val="right"/>
              <w:rPr>
                <w:b/>
              </w:rPr>
            </w:pPr>
            <w:r>
              <w:rPr>
                <w:b/>
              </w:rPr>
              <w:t>(5,832,127</w:t>
            </w:r>
          </w:p>
        </w:tc>
        <w:tc>
          <w:tcPr>
            <w:tcW w:w="162" w:type="dxa"/>
            <w:tcBorders/>
            <w:vAlign w:val="bottom"/>
          </w:tcPr>
          <w:p>
            <w:pPr>
              <w:pStyle w:val="TableContents"/>
              <w:bidi w:val="0"/>
              <w:spacing w:before="0" w:after="283"/>
              <w:jc w:val="left"/>
              <w:rPr>
                <w:b/>
              </w:rPr>
            </w:pPr>
            <w:r>
              <w:rPr>
                <w:b/>
              </w:rPr>
              <w:t>) </w:t>
            </w:r>
          </w:p>
        </w:tc>
      </w:tr>
      <w:tr>
        <w:trPr/>
        <w:tc>
          <w:tcPr>
            <w:tcW w:w="259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 THE PERIOD FROM DECEMBER 9, 2024 (INCEPTION) THROUGH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7"/>
        <w:gridCol w:w="259"/>
        <w:gridCol w:w="60"/>
        <w:gridCol w:w="1009"/>
        <w:gridCol w:w="60"/>
        <w:gridCol w:w="259"/>
        <w:gridCol w:w="239"/>
        <w:gridCol w:w="630"/>
        <w:gridCol w:w="60"/>
        <w:gridCol w:w="259"/>
        <w:gridCol w:w="140"/>
        <w:gridCol w:w="1063"/>
        <w:gridCol w:w="60"/>
        <w:gridCol w:w="259"/>
        <w:gridCol w:w="147"/>
        <w:gridCol w:w="1259"/>
        <w:gridCol w:w="155"/>
        <w:gridCol w:w="204"/>
        <w:gridCol w:w="155"/>
        <w:gridCol w:w="1349"/>
        <w:gridCol w:w="162"/>
      </w:tblGrid>
      <w:tr>
        <w:trPr/>
        <w:tc>
          <w:tcPr>
            <w:tcW w:w="2417"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2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Shares(1)</w:t>
            </w:r>
          </w:p>
        </w:tc>
        <w:tc>
          <w:tcPr>
            <w:tcW w:w="60" w:type="dxa"/>
            <w:tcBorders/>
            <w:vAlign w:val="bottom"/>
          </w:tcPr>
          <w:p>
            <w:pPr>
              <w:pStyle w:val="TableContents"/>
              <w:bidi w:val="0"/>
              <w:spacing w:before="0" w:after="283"/>
              <w:jc w:val="left"/>
              <w:rPr/>
            </w:pPr>
            <w:r>
              <w:rPr/>
              <w:t> </w:t>
            </w:r>
          </w:p>
        </w:tc>
        <w:tc>
          <w:tcPr>
            <w:tcW w:w="259" w:type="dxa"/>
            <w:vMerge w:val="restart"/>
            <w:tcBorders/>
            <w:vAlign w:val="bottom"/>
          </w:tcPr>
          <w:p>
            <w:pPr>
              <w:pStyle w:val="TableContents"/>
              <w:bidi w:val="0"/>
              <w:spacing w:before="0" w:after="283"/>
              <w:jc w:val="left"/>
              <w:rPr/>
            </w:pPr>
            <w:r>
              <w:rPr/>
              <w:t>  </w:t>
            </w:r>
          </w:p>
        </w:tc>
        <w:tc>
          <w:tcPr>
            <w:tcW w:w="120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259" w:type="dxa"/>
            <w:vMerge w:val="restart"/>
            <w:tcBorders/>
            <w:vAlign w:val="bottom"/>
          </w:tcPr>
          <w:p>
            <w:pPr>
              <w:pStyle w:val="TableContents"/>
              <w:bidi w:val="0"/>
              <w:spacing w:before="0" w:after="283"/>
              <w:jc w:val="left"/>
              <w:rPr/>
            </w:pPr>
            <w:r>
              <w:rPr/>
              <w:t>  </w:t>
            </w:r>
          </w:p>
        </w:tc>
        <w:tc>
          <w:tcPr>
            <w:tcW w:w="140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204" w:type="dxa"/>
            <w:vMerge w:val="restart"/>
            <w:tcBorders/>
            <w:vAlign w:val="bottom"/>
          </w:tcPr>
          <w:p>
            <w:pPr>
              <w:pStyle w:val="TableContents"/>
              <w:bidi w:val="0"/>
              <w:spacing w:before="0" w:after="283"/>
              <w:jc w:val="left"/>
              <w:rPr/>
            </w:pPr>
            <w:r>
              <w:rPr/>
              <w:t> </w:t>
            </w:r>
          </w:p>
        </w:tc>
        <w:tc>
          <w:tcPr>
            <w:tcW w:w="150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Equity</w:t>
            </w:r>
            <w:r>
              <w:rPr/>
              <w:br/>
            </w:r>
            <w:r>
              <w:rPr>
                <w:b/>
              </w:rPr>
              <w:t>(Deficit)</w:t>
            </w:r>
          </w:p>
        </w:tc>
        <w:tc>
          <w:tcPr>
            <w:tcW w:w="162" w:type="dxa"/>
            <w:vMerge w:val="restart"/>
            <w:tcBorders/>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59" w:type="dxa"/>
            <w:vMerge w:val="continue"/>
            <w:tcBorders/>
            <w:vAlign w:val="bottom"/>
          </w:tcPr>
          <w:p>
            <w:pPr>
              <w:pStyle w:val="Normal"/>
              <w:bidi w:val="0"/>
              <w:jc w:val="left"/>
              <w:rPr/>
            </w:pPr>
            <w:r>
              <w:rPr/>
            </w:r>
          </w:p>
        </w:tc>
        <w:tc>
          <w:tcPr>
            <w:tcW w:w="120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59" w:type="dxa"/>
            <w:vMerge w:val="continue"/>
            <w:tcBorders>
              <w:bottom w:val="single" w:sz="8" w:space="0" w:color="000000"/>
            </w:tcBorders>
            <w:tcMar>
              <w:bottom w:w="28" w:type="dxa"/>
            </w:tcMar>
            <w:vAlign w:val="bottom"/>
          </w:tcPr>
          <w:p>
            <w:pPr>
              <w:pStyle w:val="Normal"/>
              <w:bidi w:val="0"/>
              <w:jc w:val="left"/>
              <w:rPr/>
            </w:pPr>
            <w:r>
              <w:rPr/>
            </w:r>
          </w:p>
        </w:tc>
        <w:tc>
          <w:tcPr>
            <w:tcW w:w="1406"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204" w:type="dxa"/>
            <w:vMerge w:val="continue"/>
            <w:tcBorders/>
            <w:vAlign w:val="bottom"/>
          </w:tcPr>
          <w:p>
            <w:pPr>
              <w:pStyle w:val="Normal"/>
              <w:bidi w:val="0"/>
              <w:jc w:val="left"/>
              <w:rPr/>
            </w:pPr>
            <w:r>
              <w:rPr/>
            </w:r>
          </w:p>
        </w:tc>
        <w:tc>
          <w:tcPr>
            <w:tcW w:w="1504"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24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9, 2024 (inception)</w:t>
            </w:r>
          </w:p>
        </w:tc>
        <w:tc>
          <w:tcPr>
            <w:tcW w:w="2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Class B ordinary shares to Sponsor</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5,750,000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r>
              <w:rPr/>
              <w:t>24,425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25,000</w:t>
            </w:r>
          </w:p>
        </w:tc>
        <w:tc>
          <w:tcPr>
            <w:tcW w:w="162"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r>
              <w:rPr/>
              <w:t>(1,087</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r>
              <w:rPr/>
              <w:t>(1,087</w:t>
            </w:r>
          </w:p>
        </w:tc>
        <w:tc>
          <w:tcPr>
            <w:tcW w:w="162" w:type="dxa"/>
            <w:tcBorders/>
            <w:shd w:fill="CCEEFF" w:val="clear"/>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24,425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259" w:type="dxa"/>
            <w:tcBorders/>
            <w:vAlign w:val="bottom"/>
          </w:tcPr>
          <w:p>
            <w:pPr>
              <w:pStyle w:val="TableContents"/>
              <w:bidi w:val="0"/>
              <w:spacing w:before="0" w:after="283"/>
              <w:jc w:val="right"/>
              <w:rPr>
                <w:b/>
              </w:rPr>
            </w:pPr>
            <w:r>
              <w:rPr>
                <w:b/>
              </w:rPr>
              <w:t>(1,087</w:t>
            </w:r>
          </w:p>
        </w:tc>
        <w:tc>
          <w:tcPr>
            <w:tcW w:w="155" w:type="dxa"/>
            <w:tcBorders/>
            <w:vAlign w:val="bottom"/>
          </w:tcPr>
          <w:p>
            <w:pPr>
              <w:pStyle w:val="TableContents"/>
              <w:bidi w:val="0"/>
              <w:spacing w:before="0" w:after="283"/>
              <w:jc w:val="left"/>
              <w:rPr>
                <w:b/>
              </w:rPr>
            </w:pPr>
            <w:r>
              <w:rPr>
                <w:b/>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349" w:type="dxa"/>
            <w:tcBorders/>
            <w:vAlign w:val="bottom"/>
          </w:tcPr>
          <w:p>
            <w:pPr>
              <w:pStyle w:val="TableContents"/>
              <w:bidi w:val="0"/>
              <w:spacing w:before="0" w:after="283"/>
              <w:jc w:val="right"/>
              <w:rPr>
                <w:b/>
              </w:rPr>
            </w:pPr>
            <w:r>
              <w:rPr>
                <w:b/>
              </w:rPr>
              <w:t>23,913</w:t>
            </w:r>
          </w:p>
        </w:tc>
        <w:tc>
          <w:tcPr>
            <w:tcW w:w="162" w:type="dxa"/>
            <w:tcBorders/>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issuance of Class B Ordinary Shares and at January 1, 2025, included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1" w:name="fin36013_5"/>
      <w:bookmarkEnd w:id="41"/>
      <w:r>
        <w:rPr>
          <w:rFonts w:ascii="Times New Roman" w:hAnsi="Times New Roman"/>
          <w:b/>
          <w:sz w:val="20"/>
        </w:rPr>
        <w:t xml:space="preserve">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3"/>
        <w:gridCol w:w="369"/>
        <w:gridCol w:w="140"/>
        <w:gridCol w:w="1313"/>
        <w:gridCol w:w="155"/>
        <w:gridCol w:w="329"/>
        <w:gridCol w:w="222"/>
        <w:gridCol w:w="1245"/>
        <w:gridCol w:w="159"/>
      </w:tblGrid>
      <w:tr>
        <w:trPr/>
        <w:tc>
          <w:tcPr>
            <w:tcW w:w="6273"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4,249,896</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(1,087</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Earnings on marketable securities held in Trust Account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(4,624,457</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 paid via promissory note - related party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112,848</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paid by Sponsor from proceeds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267,669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(87,359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(44,081</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102,293</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766</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38,024</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321</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14,833</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Cash deposited into Trust Account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(172,500,000</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(172,500,000</w:t>
            </w:r>
          </w:p>
        </w:tc>
        <w:tc>
          <w:tcPr>
            <w:tcW w:w="155" w:type="dxa"/>
            <w:tcBorders/>
            <w:shd w:fill="CCEEFF" w:val="clear"/>
            <w:vAlign w:val="bottom"/>
          </w:tcPr>
          <w:p>
            <w:pPr>
              <w:pStyle w:val="TableContents"/>
              <w:bidi w:val="0"/>
              <w:spacing w:before="0" w:after="283"/>
              <w:jc w:val="left"/>
              <w:rPr>
                <w:b/>
              </w:rPr>
            </w:pPr>
            <w:r>
              <w:rPr>
                <w:b/>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167,807,602</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Private Placement Warrants, less issuance costs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Public Warrants, less issuance costs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173,563,004</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1,077,837</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year</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year</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3" w:type="dxa"/>
            <w:tcBorders/>
            <w:shd w:fill="CCEEFF" w:val="clear"/>
            <w:vAlign w:val="bottom"/>
          </w:tcPr>
          <w:p>
            <w:pPr>
              <w:pStyle w:val="TableContents"/>
              <w:bidi w:val="0"/>
              <w:spacing w:before="0" w:after="283"/>
              <w:jc w:val="right"/>
              <w:rPr>
                <w:b/>
              </w:rPr>
            </w:pPr>
            <w:r>
              <w:rPr>
                <w:b/>
              </w:rPr>
              <w:t>1,077,837</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 paid by Sponsor in exchange for issuance of Class B ordinary shares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(25,000</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 charged to Class A ordinary share issuance costs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6,900,000</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fees paid via the issuance of Private Placement Warrants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3" w:type="dxa"/>
            <w:tcBorders/>
            <w:shd w:fill="CCEEFF" w:val="clear"/>
            <w:vAlign w:val="bottom"/>
          </w:tcPr>
          <w:p>
            <w:pPr>
              <w:pStyle w:val="TableContents"/>
              <w:bidi w:val="0"/>
              <w:spacing w:before="0" w:after="283"/>
              <w:jc w:val="right"/>
              <w:rPr/>
            </w:pPr>
            <w:r>
              <w:rPr/>
              <w:t>1,725,000</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promissory note - related party via funds held by Sponsor</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112,848</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2" w:name="fin36013_6"/>
      <w:bookmarkEnd w:id="42"/>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Business Operations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Real Asset Acquisition Corp. (the “Company”) is a blank check company incorporated on December 9, 2024 as a Cayman Islands exempted company.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not commenced any operations. All activity for the period from December 9, 2024 (inception) through December 31, 2025 relates to the Company’s formation, initial public offering (“Initial Public Offering”), and identifying a target for the Business Combination (defined below). The Company will not generate any operating revenues until after the completion of a Business Combination, at the earliest. The Company will generate non-operating income in the form of interest income on marketable securities from the proceeds derived from the Initial Public Offering and sale of Private Placement Warrants (defined below), as well as cash equivalents held in the Operating account.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(the “Units” and, with respect to the Class A ordinary shares included in the Units sold, the “RAAQ Public Shares”), including 2,250,000 Units issued pursuant to the exercise of the Underwriters’ (as defined below) over-allotment option in full, generating gross proceeds of $172,500,000 (see Note 3). Each Unit consists of one Class A ordinary share and one-half of one redeemable warrant (the “Public Warrants”). Each whole Public Warrant entitles the holder thereof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warrants at a price of $1.00 per warrant (the “Private Placement Warrants”), generating gross proceeds of $5,450,000. Of the 5,450,000 Private Placement Warrants, (i) Cohen &amp; Company Capital Markets, a division of Cohen &amp; Company Securities, LLC (the “Representative”), purchased 1,466,250 Private Placement Warrants, (ii) Clear Street LLC (“Clear Street” and together with the Representative, the “Underwriters”) purchased 258,750 Private Placement Warrants and (iii) RAAQ Sponsor LLC, a Delaware limited liability company (the “Sponsor”), purchased 3,725,000 Private Placement Warrants.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April 30, 2025, an amount of $172,500,000 from the net proceeds of the sale of the Units in the Initial Public Offering and the sale of the Private Placement Warrants was placed in a trust account (the “Trust Account”), to be invested only in U.S. government treasury obligations with maturities of 185 days or less or in money market funds meeting certain conditions under Rule 2a-7 under the Investment Company Act of 1940, as amended (the “Investment Company Act”), which invest only in direct U.S. government treasury obligations, until the earlier of (i) the completion of a Business Combination and (ii) the distribution of the funds held in the Trust Account,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related to the issuances described above amounted to $10,931,479, consisting of $1,725,000 of cash underwriting fees, $1,725,000 of underwriting fees paid via the issuance of Private Placement Warrants, $6,900,000 of deferred underwriting fees and $581,479 of other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Initial Public Offering and the sale of the Private Placement Warrants, although substantially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Trust Account (excluding the amount of deferred underwriting discounts held in the Trust Account and taxes paid or payable on the income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Upon the closing of the Initial Public Offering, management has agreed that an amount equal to at least $10.00 per Unit sold in the Initial Public Offering, including the proceeds from the sale of the Private Placement Warrants, will be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holders of the outstanding RAAQ Public Shares (the “RAAQ Public Shareholders”) with the opportunity to redeem all or a portion of their RAAQ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RAAQ Public Shareholders will be entitled to redeem their RAAQ Public Shares for a pro rata portion of the amount then held in the Trust Account, plus any interest income earned thereon (initially anticipated to be $10.00 per Public Share, plus any pro rata interest earned on the funds held in the Trust Account and not previously released to the Company to pay permitted withdrawals). There will be no redemption rights upon completion of a Business Combination with respect to the Company’s warrants. The RAAQ Public Shares subject to redemption will be recorded at redemption value and classified as temporary equity upon the completion of the Initial Public Offering in accordance with the Financial Accounting Standards Board (“FASB”) Accounting Standards Codification (“ASC”) Topic 480, </w:t>
      </w:r>
      <w:r>
        <w:rPr>
          <w:rFonts w:ascii="Times New Roman" w:hAnsi="Times New Roman"/>
          <w:i/>
          <w:sz w:val="20"/>
        </w:rPr>
        <w:t xml:space="preserve">Distinguishing Liabilities from Equity </w:t>
      </w:r>
      <w:r>
        <w:rPr>
          <w:rFonts w:ascii="Times New Roman" w:hAnsi="Times New Roman"/>
          <w:sz w:val="20"/>
        </w:rPr>
        <w:t xml:space="preserve">(“ASC 480”).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only if a majority of the shares voted are voted in favor of the Business Combination. If a shareholder vote is not required by law and the Company does not decide to hold a shareholder vote for business or other reasons, the Company will, pursuant to its amended and restated memorandum and articles of association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 is required by law,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has agreed to vote its Founder Shares (as defined in Note 6) and any RAAQ Public Shares purchased during or after the Initial Public Offering in favor of approving a Business Combination. Additionally, each RAAQ Public Shareholder may elect to redeem their RAAQ Public Shares irrespective of whether they vote for or against the proposed transaction or whether they do not vote or abstain from voting on the proposed transaction, or whether they were RAAQ Public Shares on the record date for the general meeting held to approve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the Company seeks shareholder approval of a Business Combination and the Company does not conduct redemptions pursuant to the tender offer rules, the Amended and Restated Memorandum and Articles of Association provides that a RAAQ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RAAQ Public Shares, without the prior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waive redemption rights with respect to any Founder Shares held and any RAAQ Public Shares they may have acquired during or after the Initial Public Offering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completion of a Business Combination, except that RAAQ Public Shares held by the initial shareholders will be subject to mandatory redemption upon any diminution of the Trust Account in connection with an extension, and such shares will be entitled to redemption at a price equal to the per share redemption value then held in the Trust Account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have until October 30, 2026 (or January 30, 2027), 18 months from the closing of the Initial Public Offering (or 21 months from the closing of the Initial Public Offering if the Company has executed a definitive agreement for an initial Business Combination within 18 months of the Initial Public Offering) to complete a Business Combination (the “Completion Period”). However, if the Company anticipates that it may not be able to consummate a Business Combination within the Completion Period, the Company may, but is not obligated to, by resolution of the board if requested by the initial shareholders, extend the period of time to consummate a Business Combination by seeking shareholder approval to amend the Amended and Restated Memorandum and Articles of Association to extend the date by which the Company must consummate the initial Business Combination. If the Company seeks shareholder approval for an extension, holders of RAAQ Public Shares will be offered an opportunity to redeem their shares, regardless of whether they abstain, vote for, or against, the Company’s initial Business Combination, at a per share price, payable in cash, equal to the aggregate amount then on deposit in the Trust Account, including interest earned thereon (which interest shall be net of amounts not previously released to the Company pursuant to permitted withdrawals), divided by the number of then issued and outstanding RAAQ Public Shares, subject to applicable law. For the avoidance of doubt, the time to complete a Business Combination shall not be extended beyond 18 months (or 21 months as discussed above) without a shareholder vote. The Underwriters have agreed to waive their rights to their deferred underwriting commission held in the Trust Account in the event the Company does not complete a Business Combination within the Completion Period and, in such event, such amounts will be included with the other funds held in the Trust Account that will be available to fund the redemption of the Public Shares.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Account assets, in each case less permitted withdrawals and up to $100,000 of interest to pay liquidation expenses,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Initial Public Offering against certain liabilities, including liabilities under the Securities Act of 1933, as amended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Company had a working capital surplus of $1,046,139. Prior to the completion of the Initial Public Offering, the Company lacked the liquidity it needed to sustain operations for a reasonable period of time, which is considered to be one year from the issuance date of the financial statements. The Company has since completed its Initial Public Offering at which time capital in excess of the funds deposited in the Trust Account and/or used to fund offering expenses will be available to the Company for general working capital purposes. At the closing of the Initial Public Offering on April 30, 2025, $1,602,224 of the proceeds was due to the Company to be held by the Sponsor outside of the Trust Account for working capital purposes. On August 14, 2025, the Company received the outstanding balance due from Sponsor, totaling $1,221,440. The amount received reflects the gross balance due, net of general and administrative expenses paid directly by the Sponsor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whether there are certain conditions and events, considered in the aggregate, that raise substantial doubt about the Company’s ability to continue as a going concern within one year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financial statements are issued. The Company will have until the end of the Completion Period to consummate a Business Combination. If a Business Combination is not consummated by the end of the Completion Period, there will be a mandatory liquidation and subsequent dissolution of the Company. No adjustments have been made to the carrying amounts of assets or liabilities should the Company be required to liquidate after October 30, 2026 (or January 30, 2027). The Company intends to complete the initial Business Combination before the mandatory liquidation date. However, there can be no assurance that the Company will be able to consummate any Business Combination by October 30, 2026 (or January 30, 2027). Therefore, the Company has concluded that there is substantial doubt about its ability to continue as a going concern for a period of one year from the date that these financial statements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financial statements have been prepared in accordance with generally accepted accounting principles in the United States of America (“U.S. GAAP”), and pursuant to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its periodic reports and proxy statements, and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the Company’s management to make estimates and assumptions that affect the reported amounts of assets and liabilities at the date of the financial statements and the reported amounts of expenses and disclosure of contingent assets and liabilities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other than those held in the Trust Account, with an original maturity of three months or less when purchased to be cash equivalents. The Company had cash and cash equivalents of $1,077,837 as of December 31, 2025 and $ as of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marketable securities held in the Trust Account are comprised of U.S. government treasury bills maturing within three months amounting to $177,124,457. As of December 31, 2024, the Company did not hold marketable securities held in the Trust Account. </w:t>
      </w:r>
    </w:p>
    <w:p>
      <w:pPr>
        <w:pStyle w:val="TextBody"/>
        <w:bidi w:val="0"/>
        <w:spacing w:before="360" w:after="0"/>
        <w:jc w:val="left"/>
        <w:rPr>
          <w:rFonts w:ascii="Times New Roman" w:hAnsi="Times New Roman"/>
          <w:b/>
          <w:sz w:val="20"/>
        </w:rPr>
      </w:pPr>
      <w:r>
        <w:rPr>
          <w:rFonts w:ascii="Times New Roman" w:hAnsi="Times New Roman"/>
          <w:b/>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Class A ordinary shares that were sold as part of the Units in the Initial Public Offering contain a redemption feature which allows for the redemption of such RAAQ Public Shares in connection with the Company’s liquidation, if there is a shareholder vote or tender offer in connection with the Business Combination and in connection with certain amendments to the Company’s Amended and Restated Memorandum and Articles of Association. In accordance with ASC 480, conditionally redeemable Class A ordinary shares (including Class A ordinary shares that have redemption rights that are either within the control of the holder or subject to redemption upon the occurrence of uncertain events not solely within the Company’s control) are classified as temporary equity. Ordinary liquidation events, which involve the redemption and liquidation of all of the entity’s equity instruments, are excluded from the provisions of ASC 480. Although the Company did not specify a maximum redemption threshold, its charter provides that currently, the Company will only redeem its RAAQ Public Shares. However, the threshold in its Amended and Restated Memorandum and Articles of Association would not change the nature of the underlying shares as redeemable and thus the RAAQ Public Shares are required to be presented outside of permanent equity. The Company recognizes changes in redemption value immediately as they occur and adjusts the carrying value of redeemable ordinary shares to equal the redemption value ($10.27 per share as of December 31, 2025) at the end of each reporting period. Such changes are reflected in additional paid-in capital, or in the absence of additional paid-in capital, in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Class A ordinary shares reflected in the balance sheet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2"/>
        <w:gridCol w:w="449"/>
        <w:gridCol w:w="147"/>
        <w:gridCol w:w="1460"/>
        <w:gridCol w:w="161"/>
      </w:tblGrid>
      <w:tr>
        <w:trPr/>
        <w:tc>
          <w:tcPr>
            <w:tcW w:w="4722"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172,500,000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(345,000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allocated to Class A ordinary shares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(10,891,881</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15,861,338</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460" w:type="dxa"/>
            <w:tcBorders/>
            <w:shd w:fill="CCEEFF" w:val="clear"/>
            <w:vAlign w:val="bottom"/>
          </w:tcPr>
          <w:p>
            <w:pPr>
              <w:pStyle w:val="TableContents"/>
              <w:bidi w:val="0"/>
              <w:spacing w:before="0" w:after="283"/>
              <w:jc w:val="right"/>
              <w:rPr>
                <w:b/>
              </w:rPr>
            </w:pPr>
            <w:r>
              <w:rPr>
                <w:b/>
              </w:rPr>
              <w:t>177,124,457</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 </w:t>
      </w:r>
      <w:r>
        <w:rPr>
          <w:rFonts w:ascii="Times New Roman" w:hAnsi="Times New Roman"/>
          <w:i/>
          <w:sz w:val="20"/>
        </w:rPr>
        <w:t>Expenses of Offering</w:t>
      </w:r>
      <w:r>
        <w:rPr>
          <w:rFonts w:ascii="Times New Roman" w:hAnsi="Times New Roman"/>
          <w:sz w:val="20"/>
        </w:rPr>
        <w:t xml:space="preserve">.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costs amounting to $10,931,479, consisting of $1,725,000 of cash underwriting fees, $1,725,000 of underwriting fees paid via the issuance of Private Placement Warrants, $6,900,000 of deferred underwriting fees and $581,479 of other offering costs. As such, the Company recorded $10,891,881 of offering costs as a reduction of temporary equity and $39,598 of offering costs as a reduction of permanent equity.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follows the asset and liability method of accounting for income taxes under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or 2024.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of $250,000. The Company has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Net income (loss) per ordinary share is computed by dividing net income (loss) by the weighted average number of ordinary shares outstanding during the period. At December 31, 2025, the calculation of diluted net income per Class A Ordinary Share does not consider the effect of the Public Warrants issued in connection with the Initial Public Offering and the Private Placement Warrants to purchase an aggregate of 14,075,000 Class A Ordinary Shares, because their exercise is contingent upon future events. As a result, diluted income per Class A ordinary share is the same as basic income per Class A ordinary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tables reflect the calculation of basic and diluted net income (loss) per share: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78"/>
        <w:gridCol w:w="309"/>
        <w:gridCol w:w="140"/>
        <w:gridCol w:w="1110"/>
        <w:gridCol w:w="60"/>
        <w:gridCol w:w="309"/>
        <w:gridCol w:w="140"/>
        <w:gridCol w:w="1008"/>
        <w:gridCol w:w="60"/>
        <w:gridCol w:w="309"/>
        <w:gridCol w:w="223"/>
        <w:gridCol w:w="697"/>
        <w:gridCol w:w="94"/>
        <w:gridCol w:w="367"/>
        <w:gridCol w:w="223"/>
        <w:gridCol w:w="1601"/>
        <w:gridCol w:w="160"/>
      </w:tblGrid>
      <w:tr>
        <w:trPr/>
        <w:tc>
          <w:tcPr>
            <w:tcW w:w="2578"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67"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w:t>
            </w:r>
            <w:r>
              <w:rPr/>
              <w:br/>
            </w:r>
            <w:r>
              <w:rPr>
                <w:b/>
              </w:rPr>
              <w:t>December 9, 2024 (inception)</w:t>
            </w:r>
            <w:r>
              <w:rPr/>
              <w:br/>
            </w:r>
            <w:r>
              <w:rPr>
                <w:b/>
              </w:rPr>
              <w:t>through December 31, 2024</w:t>
            </w:r>
          </w:p>
        </w:tc>
        <w:tc>
          <w:tcPr>
            <w:tcW w:w="160" w:type="dxa"/>
            <w:tcBorders/>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160" w:type="dxa"/>
            <w:tcBorders/>
            <w:vAlign w:val="bottom"/>
          </w:tcPr>
          <w:p>
            <w:pPr>
              <w:pStyle w:val="TableContents"/>
              <w:bidi w:val="0"/>
              <w:spacing w:before="0" w:after="283"/>
              <w:jc w:val="left"/>
              <w:rPr/>
            </w:pPr>
            <w:r>
              <w:rPr/>
              <w:t> </w:t>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income (loss) per share:</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0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2,884,125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1,365,771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601" w:type="dxa"/>
            <w:tcBorders/>
            <w:shd w:fill="CCEEFF" w:val="clear"/>
            <w:vAlign w:val="bottom"/>
          </w:tcPr>
          <w:p>
            <w:pPr>
              <w:pStyle w:val="TableContents"/>
              <w:bidi w:val="0"/>
              <w:spacing w:before="0" w:after="283"/>
              <w:jc w:val="right"/>
              <w:rPr/>
            </w:pPr>
            <w:r>
              <w:rPr/>
              <w:t>(1,087</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11,626,027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5,505,479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5,000,000</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(loss) per ordinary share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8"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697" w:type="dxa"/>
            <w:tcBorders/>
            <w:vAlign w:val="bottom"/>
          </w:tcPr>
          <w:p>
            <w:pPr>
              <w:pStyle w:val="TableContents"/>
              <w:bidi w:val="0"/>
              <w:spacing w:before="0" w:after="283"/>
              <w:jc w:val="right"/>
              <w:rPr>
                <w:b/>
              </w:rPr>
            </w:pPr>
            <w:r>
              <w:rPr>
                <w:b/>
              </w:rPr>
              <w:t>0.00</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1601" w:type="dxa"/>
            <w:tcBorders/>
            <w:vAlign w:val="bottom"/>
          </w:tcPr>
          <w:p>
            <w:pPr>
              <w:pStyle w:val="TableContents"/>
              <w:bidi w:val="0"/>
              <w:spacing w:before="0" w:after="283"/>
              <w:jc w:val="right"/>
              <w:rPr>
                <w:b/>
              </w:rPr>
            </w:pPr>
            <w:r>
              <w:rPr>
                <w:b/>
              </w:rPr>
              <w:t>(0.00</w:t>
            </w:r>
          </w:p>
        </w:tc>
        <w:tc>
          <w:tcPr>
            <w:tcW w:w="160" w:type="dxa"/>
            <w:tcBorders/>
            <w:vAlign w:val="bottom"/>
          </w:tcPr>
          <w:p>
            <w:pPr>
              <w:pStyle w:val="TableContents"/>
              <w:bidi w:val="0"/>
              <w:spacing w:before="0" w:after="283"/>
              <w:jc w:val="left"/>
              <w:rPr>
                <w:b/>
              </w:rPr>
            </w:pPr>
            <w:r>
              <w:rPr>
                <w:b/>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6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2578" w:type="dxa"/>
            <w:tcBorders/>
            <w:vAlign w:val="center"/>
          </w:tcPr>
          <w:p>
            <w:pPr>
              <w:pStyle w:val="TableContents"/>
              <w:bidi w:val="0"/>
              <w:spacing w:before="0" w:after="283"/>
              <w:jc w:val="left"/>
              <w:rPr>
                <w:sz w:val="4"/>
                <w:szCs w:val="4"/>
              </w:rPr>
            </w:pPr>
            <w:r>
              <w:rPr>
                <w:sz w:val="4"/>
                <w:szCs w:val="4"/>
              </w:rPr>
            </w:r>
          </w:p>
        </w:tc>
        <w:tc>
          <w:tcPr>
            <w:tcW w:w="3136" w:type="dxa"/>
            <w:gridSpan w:val="8"/>
            <w:tcBorders/>
            <w:vAlign w:val="center"/>
          </w:tcPr>
          <w:p>
            <w:pPr>
              <w:pStyle w:val="TableContents"/>
              <w:bidi w:val="0"/>
              <w:spacing w:before="0" w:after="283"/>
              <w:jc w:val="left"/>
              <w:rPr>
                <w:sz w:val="4"/>
                <w:szCs w:val="4"/>
              </w:rPr>
            </w:pPr>
            <w:r>
              <w:rPr>
                <w:sz w:val="4"/>
                <w:szCs w:val="4"/>
              </w:rPr>
            </w:r>
          </w:p>
        </w:tc>
        <w:tc>
          <w:tcPr>
            <w:tcW w:w="3674" w:type="dxa"/>
            <w:gridSpan w:val="8"/>
            <w:tcBorders/>
            <w:vAlign w:val="center"/>
          </w:tcPr>
          <w:p>
            <w:pPr>
              <w:pStyle w:val="TableContents"/>
              <w:bidi w:val="0"/>
              <w:spacing w:before="0" w:after="283"/>
              <w:jc w:val="left"/>
              <w:rPr>
                <w:sz w:val="4"/>
                <w:szCs w:val="4"/>
              </w:rPr>
            </w:pPr>
            <w:r>
              <w:rPr>
                <w:sz w:val="4"/>
                <w:szCs w:val="4"/>
              </w:rPr>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67"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w:t>
            </w:r>
            <w:r>
              <w:rPr/>
              <w:br/>
            </w:r>
            <w:r>
              <w:rPr>
                <w:b/>
              </w:rPr>
              <w:t>December 9, 2024 (inception)</w:t>
            </w:r>
            <w:r>
              <w:rPr/>
              <w:br/>
            </w:r>
            <w:r>
              <w:rPr>
                <w:b/>
              </w:rPr>
              <w:t>through December 31, 2024</w:t>
            </w:r>
          </w:p>
        </w:tc>
        <w:tc>
          <w:tcPr>
            <w:tcW w:w="160" w:type="dxa"/>
            <w:tcBorders/>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160" w:type="dxa"/>
            <w:tcBorders/>
            <w:vAlign w:val="bottom"/>
          </w:tcPr>
          <w:p>
            <w:pPr>
              <w:pStyle w:val="TableContents"/>
              <w:bidi w:val="0"/>
              <w:spacing w:before="0" w:after="283"/>
              <w:jc w:val="left"/>
              <w:rPr/>
            </w:pPr>
            <w:r>
              <w:rPr/>
              <w:t> </w:t>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(loss) per share:</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0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2,874,128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1,375,768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601" w:type="dxa"/>
            <w:tcBorders/>
            <w:shd w:fill="CCEEFF" w:val="clear"/>
            <w:vAlign w:val="bottom"/>
          </w:tcPr>
          <w:p>
            <w:pPr>
              <w:pStyle w:val="TableContents"/>
              <w:bidi w:val="0"/>
              <w:spacing w:before="0" w:after="283"/>
              <w:jc w:val="right"/>
              <w:rPr/>
            </w:pPr>
            <w:r>
              <w:rPr/>
              <w:t>(1,087</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11,626,027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5,565,068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5,000,000</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(loss) per ordinary share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8"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697" w:type="dxa"/>
            <w:tcBorders/>
            <w:vAlign w:val="bottom"/>
          </w:tcPr>
          <w:p>
            <w:pPr>
              <w:pStyle w:val="TableContents"/>
              <w:bidi w:val="0"/>
              <w:spacing w:before="0" w:after="283"/>
              <w:jc w:val="right"/>
              <w:rPr>
                <w:b/>
              </w:rPr>
            </w:pPr>
            <w:r>
              <w:rPr>
                <w:b/>
              </w:rPr>
              <w:t>0.00</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1601" w:type="dxa"/>
            <w:tcBorders/>
            <w:vAlign w:val="bottom"/>
          </w:tcPr>
          <w:p>
            <w:pPr>
              <w:pStyle w:val="TableContents"/>
              <w:bidi w:val="0"/>
              <w:spacing w:before="0" w:after="283"/>
              <w:jc w:val="right"/>
              <w:rPr>
                <w:b/>
              </w:rPr>
            </w:pPr>
            <w:r>
              <w:rPr>
                <w:b/>
              </w:rPr>
              <w:t>(0.00</w:t>
            </w:r>
          </w:p>
        </w:tc>
        <w:tc>
          <w:tcPr>
            <w:tcW w:w="160" w:type="dxa"/>
            <w:tcBorders/>
            <w:vAlign w:val="bottom"/>
          </w:tcPr>
          <w:p>
            <w:pPr>
              <w:pStyle w:val="TableContents"/>
              <w:bidi w:val="0"/>
              <w:spacing w:before="0" w:after="283"/>
              <w:jc w:val="left"/>
              <w:rPr>
                <w:b/>
              </w:rPr>
            </w:pPr>
            <w:r>
              <w:rPr>
                <w:b/>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6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ASC Topic 820, </w:t>
      </w:r>
      <w:r>
        <w:rPr>
          <w:rFonts w:ascii="Times New Roman" w:hAnsi="Times New Roman"/>
          <w:i/>
          <w:sz w:val="20"/>
        </w:rPr>
        <w:t>Fair Value Measurement</w:t>
      </w:r>
      <w:r>
        <w:rPr>
          <w:rFonts w:ascii="Times New Roman" w:hAnsi="Times New Roman"/>
          <w:sz w:val="20"/>
        </w:rPr>
        <w:t xml:space="preserve">, approximates the carrying amounts represented in the accompanying balance sheets, primarily due to their short-term nature.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480 and ASC Topic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recorded as liabilities at their initial fair value on the date of issuance, and each balance sheet date thereafter. Changes in the estimated fair value of the warrants are recognized as a non-cash gain or loss in the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and Private Placement Warrants are not precluded from equity classification and were accounted for as such on the date of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share-based compensation in accordance with ASC Topic 718, </w:t>
      </w:r>
      <w:r>
        <w:rPr>
          <w:rFonts w:ascii="Times New Roman" w:hAnsi="Times New Roman"/>
          <w:i/>
          <w:sz w:val="20"/>
        </w:rPr>
        <w:t>Compensation-Share Compensation</w:t>
      </w:r>
      <w:r>
        <w:rPr>
          <w:rFonts w:ascii="Times New Roman" w:hAnsi="Times New Roman"/>
          <w:sz w:val="20"/>
        </w:rPr>
        <w:t xml:space="preserve"> (“ASC 718”). ASC 718 defines a fair value-based method of accounting for an employee share option or similar equity instrument. The Company recognizes all forms of share-based payments at their fair value on the grant date, which are based on the estimated number of awards that are ultimately expected to vest. Share-based payments are valued using a Black-Scholes option pricing model. Grants of share-based payment awards issued to non-employees for services rendered have been recorded at the fair value of the share-based payment, which is the more readily determinable value. The grants are amortized on a straight-line basis over the requisite service periods, which is generally the vesting period. If an award is granted, but vesting does not occur, any previously recognized compensation cost is reversed in the period related to the termination of service. Share-based compensation expenses are included in costs and operating expenses depending on the nature of the services provided in the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Adopted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Accounting Standards Update (“ASU”) 2023-07, </w:t>
      </w:r>
      <w:r>
        <w:rPr>
          <w:rFonts w:ascii="Times New Roman" w:hAnsi="Times New Roman"/>
          <w:i/>
          <w:sz w:val="20"/>
        </w:rPr>
        <w:t xml:space="preserve">Segment Reporting (Topic 280): Improvements to Reportable Segment Disclosures </w:t>
      </w:r>
      <w:r>
        <w:rPr>
          <w:rFonts w:ascii="Times New Roman" w:hAnsi="Times New Roman"/>
          <w:sz w:val="20"/>
        </w:rPr>
        <w:t xml:space="preserve">(“ASU 2023-07”).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ASC Topic 280, </w:t>
      </w:r>
      <w:r>
        <w:rPr>
          <w:rFonts w:ascii="Times New Roman" w:hAnsi="Times New Roman"/>
          <w:i/>
          <w:sz w:val="20"/>
        </w:rPr>
        <w:t>Segment Reporting</w:t>
      </w:r>
      <w:r>
        <w:rPr>
          <w:rFonts w:ascii="Times New Roman" w:hAnsi="Times New Roman"/>
          <w:sz w:val="20"/>
        </w:rPr>
        <w:t xml:space="preserve"> (“ASC 280”), in interim periods, and entities with a single reportable segment are required to provide all the disclosures required by the amendments in this ASU and existing segment disclosures in ASC 280. The ASU is effective for fiscal years beginning after December 15, 2023, and interim periods within fiscal years beginning after December 15, 2024, with early adoption permitted. The Company adopted ASU 2023-07 on December 9, 2024, the date of its incorporation. The adoption did not have a material impact on the consolidated financial statements, refer to Note 5, Segment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No other recently issued accounting pronouncements are expected to have a material impact on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including 2,250,000 Units issued pursuant to the exercise of the Underwriters’ over-allotment option in full, generating gross proceeds of $172,500,000. Each Unit consisted of one Class A ordinary share and one-half of one Public Warrant. Each whole Public Warrant entitles the holder to purchase one Class A ordinary share at an exercise price of $11.50 per whole share, subject to adjustment (see Note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Private Placement Warrants at a price of $1.00 per warrant generating gross proceeds of $5,450,000. Of the 5,450,000 Private Placement Warrants, the Underwriters purchased an aggregate of 1,725,000 Private Placement Warrants and the Sponsor purchased 3,725,000 Private Placement Warrants. The proceeds from the sale of the Private Placement Warrants were added to the net proceeds from the Initial Public Offering held in the Trust Account. If the Company does not complete a Business Combination within the Completion Period, the proceeds from the sale of the Private Placement Warrants held in the Trust Account will be used to fund the redemption of the RAAQ Public Shares (subject to the requirements of applicable law) and the Private Placement Warrants will expire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Note 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 280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Management has determined that the Company only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9"/>
        <w:gridCol w:w="386"/>
        <w:gridCol w:w="161"/>
        <w:gridCol w:w="1429"/>
        <w:gridCol w:w="60"/>
        <w:gridCol w:w="386"/>
        <w:gridCol w:w="242"/>
        <w:gridCol w:w="1307"/>
        <w:gridCol w:w="175"/>
      </w:tblGrid>
      <w:tr>
        <w:trPr/>
        <w:tc>
          <w:tcPr>
            <w:tcW w:w="3609"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9"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178,333,734</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25,000</w:t>
            </w:r>
          </w:p>
        </w:tc>
        <w:tc>
          <w:tcPr>
            <w:tcW w:w="175" w:type="dxa"/>
            <w:tcBorders/>
            <w:shd w:fill="CCEEFF" w:val="clear"/>
            <w:vAlign w:val="bottom"/>
          </w:tcPr>
          <w:p>
            <w:pPr>
              <w:pStyle w:val="TableContents"/>
              <w:bidi w:val="0"/>
              <w:spacing w:before="0" w:after="283"/>
              <w:jc w:val="left"/>
              <w:rPr/>
            </w:pPr>
            <w:r>
              <w:rPr/>
              <w:t> </w:t>
            </w:r>
          </w:p>
        </w:tc>
      </w:tr>
      <w:tr>
        <w:trPr>
          <w:trHeight w:val="240" w:hRule="atLeast"/>
        </w:trPr>
        <w:tc>
          <w:tcPr>
            <w:tcW w:w="3609" w:type="dxa"/>
            <w:tcBorders/>
            <w:vAlign w:val="center"/>
          </w:tcPr>
          <w:p>
            <w:pPr>
              <w:pStyle w:val="TableContents"/>
              <w:bidi w:val="0"/>
              <w:spacing w:before="0" w:after="283"/>
              <w:jc w:val="left"/>
              <w:rPr>
                <w:sz w:val="4"/>
                <w:szCs w:val="4"/>
              </w:rPr>
            </w:pPr>
            <w:r>
              <w:rPr>
                <w:sz w:val="4"/>
                <w:szCs w:val="4"/>
              </w:rPr>
            </w:r>
          </w:p>
        </w:tc>
        <w:tc>
          <w:tcPr>
            <w:tcW w:w="2036" w:type="dxa"/>
            <w:gridSpan w:val="4"/>
            <w:tcBorders/>
            <w:vAlign w:val="center"/>
          </w:tcPr>
          <w:p>
            <w:pPr>
              <w:pStyle w:val="TableContents"/>
              <w:bidi w:val="0"/>
              <w:spacing w:before="0" w:after="283"/>
              <w:jc w:val="left"/>
              <w:rPr>
                <w:sz w:val="4"/>
                <w:szCs w:val="4"/>
              </w:rPr>
            </w:pPr>
            <w:r>
              <w:rPr>
                <w:sz w:val="4"/>
                <w:szCs w:val="4"/>
              </w:rPr>
            </w:r>
          </w:p>
        </w:tc>
        <w:tc>
          <w:tcPr>
            <w:tcW w:w="2110" w:type="dxa"/>
            <w:gridSpan w:val="4"/>
            <w:tcBorders/>
            <w:vAlign w:val="center"/>
          </w:tcPr>
          <w:p>
            <w:pPr>
              <w:pStyle w:val="TableContents"/>
              <w:bidi w:val="0"/>
              <w:spacing w:before="0" w:after="283"/>
              <w:jc w:val="left"/>
              <w:rPr>
                <w:sz w:val="4"/>
                <w:szCs w:val="4"/>
              </w:rPr>
            </w:pPr>
            <w:r>
              <w:rPr>
                <w:sz w:val="4"/>
                <w:szCs w:val="4"/>
              </w:rPr>
            </w:r>
          </w:p>
        </w:tc>
      </w:tr>
      <w:tr>
        <w:trPr/>
        <w:tc>
          <w:tcPr>
            <w:tcW w:w="3609"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374,202</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1,087</w:t>
            </w:r>
          </w:p>
        </w:tc>
        <w:tc>
          <w:tcPr>
            <w:tcW w:w="175" w:type="dxa"/>
            <w:tcBorders/>
            <w:shd w:fill="CCEEFF" w:val="clear"/>
            <w:vAlign w:val="bottom"/>
          </w:tcPr>
          <w:p>
            <w:pPr>
              <w:pStyle w:val="TableContents"/>
              <w:bidi w:val="0"/>
              <w:spacing w:before="0" w:after="283"/>
              <w:jc w:val="left"/>
              <w:rPr/>
            </w:pPr>
            <w:r>
              <w:rPr/>
              <w:t> </w:t>
            </w:r>
          </w:p>
        </w:tc>
      </w:tr>
      <w:tr>
        <w:trPr/>
        <w:tc>
          <w:tcPr>
            <w:tcW w:w="360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386"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4,606,744</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4,249,896</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(1,087</w:t>
            </w:r>
          </w:p>
        </w:tc>
        <w:tc>
          <w:tcPr>
            <w:tcW w:w="1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are reviewed and monitored by the CODM to manage and forecast cash to ensure enough capital is available to complete a Business Combination or similar transaction within the Completion Period. The CODM also reviews general and administrative expenses to manage, maintain and enforce all contractual agreements to ensure costs are aligned with all agreements and budget. General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administrative expenses, as reported on the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The CODM will review net earnings on marketable securities held in Trust Account to measure and monitor shareholder value while maintaining compliance with the trust agreement. All other segment items included in net income or loss are reported on the statements of operations and described within their respective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2024, the Sponsor was issued 5,750,000 Class B ordinary shares (the “Founder Shares”) for an aggregate price of $25,000 paid to cover certain expenses on behalf of the Company. The Founder Shares included an aggregate of up to 750,000 Class B ordinary shares subject to forfeiture by the Sponsor to the extent that the Underwriters’ over-allotment option was not exercised in full or in part, so that the Sponsor would own, on an as-converted basis, 25% of the Company’s issued and outstanding shares after the Initial Public Offering (assuming the Sponsor does not purchase any RAAQ Public Shares in the Initial Public Offering). On April 30, 2025, the Underwriters exercised their over-allotment option in full as part of the closing of the Initial Public Offering. As such, the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and March 2025, the Sponsor transferred 25,000 Founder Shares to each of our independent directors (for an aggregate of 75,000 Class B ordinary shares) and 10,000 Founder Shares to each of our advisors (for an aggregate of 60,000 Class B ordinary shares) at the same price that the Sponsor had purchased such shares or approximately $0.004 per share. The Class B ordinary shares will automatically convert into Class A ordinary shares immediately prior to, concurrently with or immediately following the consummation of the initial Business Combination, or at any time prior thereto at the option of the holder thereof,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the Founder Shares to the Company’s advisors and directors is in the scope of ASC 718. Under ASC 718, stock-based compensation associated with equity-classified awards is measured at fair value upon the grant date. The Company determined the conversion of such Class B ordinary shares into Class A ordinary shares upon consummation of the initial Business Combination represents a performance obligation. Compensation expense related to the Founder Shares is recognized only when the performance condition is probable of occurrence under the applicable accounting literature. The condition of the consummation of an initial Business Combination is considered not to be probable and, as such, the Company has not recognized the expense related to the issuance of these shares.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are designated as Class B ordinary shares and, except as described below, are identical to the Class A ordinary shares included in the Units sold in the Initial Public Offering, and holders of Founder Shares have the same shareholder rights as RAAQ Public Shareholders, except that (i) the Founder Shares are subject to certain transfer restrictions, as described in more detail below, (ii) the Founder Shares are entitled to registration rights, (iii) the Company’s Sponsor, officers and directors have entered into a letter agreement with the Company, pursuant to which they have agreed to (A) waive their redemption rights with respect to their Founder Shares and RAAQ Public Shares in connection with the completion of the Company’s initial Business Combination, (B) waive their redemption rights with respect to their Founder Shares and RAAQ Public Shares in connection with a shareholder vote to approve an amendment to the Company’s Amended and Restated Memorandum and Articles of Association (1) to modify the substance or timing of the Company’s obligation to allow redemption in connection with the Company’s initial Business Combination or to redeem 100% of the Company’s RAAQ Public Shares if the Company has not consummated an initial Business Combination within the Completion Period, (2) with respect to any other material provisions relating to shareholders’ rights or pre-initial Business Combination activity, (3) waive their rights to liquidating distributions from the Trust Account with respect to their Founder Shares if the Company fails to complete the Company’s initial Business Combination within the Completion Period, although they will be entitled to liquidating distributions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 Account with respect to any RAAQ Public Shares they hold if the Company fails to complete the initial Business Combination within such time period and to liquidating distributions from assets outside the Trust Account and (4) vote any Founder Shares held by them and any RAAQ Public Shares purchased during or after the Initial Public Offering (including in open market and privately negotiated transactions) in favor of the initial Business Combination (including any proposals recommended by the Company’s board of directors in connection with such Business Combination) (except with respect to any RAAQ Public Shares which may not be voted in favor of approving the Business Combination transaction in accordance with the requirements of Rule 14e-5 under the Exchange Act and any SEC interpretations or guidance relating thereto), (iv) the Founder Shares are automatically convertible into Class A ordinary shares immediately prior to, concurrently with or immediately following the consummation of the Company’s initial Business Combination or at any time prior thereto at the option of the holder on a one-for-one basis, subject to adjustment as described herein and in the Amended and Restated Memorandum and Articles of Association, and (v) prior to the closing of the Company’s initial Business Combination, only holders of Class B ordinary shares will be entitled to vote on the appointment and removal of directors or continuing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the initial Business Combination or at any time prior thereto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25%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issued to the Sponsor and the Underwriters), plus (ii) all Class A ordinary shares and equity-linked securities issued or deemed issued in connection with the Company’s initial Business Combination (excluding any shares or equity-linked securities issued, or to be issued, to any seller in the initial Business Combination and any private placement-equivalent warrants issued to the Company’s Sponsor or any of its affiliates or to the Company’s officers and directors upon conversion of working capital loans) minus (iii) any redemptions of Class A ordinary shares by RAAQ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With certain limited exceptions, the Founder Shares are not transferable, assignable or saleable (except to the Company’s officers and directors and other persons or entities affiliated with the Company’s Sponsor, each of whom will be subject to the same transfer restrictions) until the earlier of (A) one year after the completion of the Company’s initial Business Combination or earlier if, subsequent to the Company’s initial Business Combination,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and (B)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Promissory Note - Related Party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2024, the Sponsor agreed to loan the Company an aggregate of up to $300,000 to cover expenses related to the Initial Public Offering pursuant to a promissory note (the “Promissory Note”). The Promissory Note is non-interest bearing and payable on the earlier of December 31, 2025 or the date on which the Company consummates the Initial Public Offering of its securities. During the year ended December 31, 2025, the balance of the Promissory Note was paid in full to a related entity of the Sponsor, and borrowings under the note are no longer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Due to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Company’s Sponsor has agreed to initially fund operating expenses related to the Initial Public Offering. These include legal fees, mailing, and shipping expenses. As of December 31, 2025 and 2024, the Company had a total of $38,345 and $321, respectively, outstanding that was due to related party.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commencing from April 30, 2025, the date of the Initial Public Offering, through the earlier of the Company’s consummation of a Business Combination and its liquidation, to make available to the Company certain general and administrative services, including office space and administrative services, as the Company may require from time to time. The Company has agreed to pay to the Sponsor up to $20,000 per month for these services during the Completion Period. For the year ended December 31, 2025 and the period from December 9, 2024 (inception) through December 31, 2024, the Company incurred $160,000 and $0, respectively, due to the Sponsor for these services, which are included in general and administrative expenses on the accompanying statements of operations. As of December 31, 2025 and 2024, the Company had a total of $20,000 and $0, respectively, of prepayments for services under the administrative support agreement which are included in prepaid expenses and other current assets on the accompanying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the initial Business Combination, the Sponsor or an affiliate of the Sponsor or certain of the Company’s officers and directors may, but are not obligated to, loan the Company funds as may be required on a non-interest bearing basis. If the Company completes the initial Business Combination, the Company will repay such loaned amounts. In the event that the initial Business Combination does not close, the Company may use a portion of the working capital held outside the Trust Account to repay such loaned amounts, but no proceeds from the Trust Account would be used for such repayment. Up to $1,500,000 of such loans may be convertible into warrants, at a price of $1.00 per warrant at the option of the lender, upon consummation of the initial Business Combination. The warrants would be identical to the Private Placement Warrants. Other than as set forth above, the terms of such loans by the Company’s officers and directors, if any, have not been determined and no written agreements exist with respect to such loans. There are no such outstanding working capital loans as of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Note 7. Commitments and Contingencies </w:t>
      </w:r>
    </w:p>
    <w:p>
      <w:pPr>
        <w:pStyle w:val="TextBody"/>
        <w:bidi w:val="0"/>
        <w:spacing w:before="120" w:after="0"/>
        <w:jc w:val="left"/>
        <w:rPr>
          <w:rFonts w:ascii="Times New Roman" w:hAnsi="Times New Roman"/>
          <w:b/>
          <w:sz w:val="20"/>
        </w:rPr>
      </w:pPr>
      <w:r>
        <w:rPr>
          <w:rFonts w:ascii="Times New Roman" w:hAnsi="Times New Roman"/>
          <w:b/>
          <w:sz w:val="20"/>
        </w:rPr>
        <w:t xml:space="preserve">Registration and Shareholder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which were issued in a private placement prior to the closing of the Initial Public Offering, (ii) Private Placement Warrants and the Class A ordinary shares underlying such Private Placement Warrants and (iii) Private Placement Warrants that may be issued upon conversion of working capital loans will have registration rights to require the Company to register a sale of any of the Company’s securities held by them and any other securities of the Company acquired by them prior to the consummation of the Company’s initial Business Combination pursuant to a registration rights agreement signed on the effective date of the Initial Public Offering. Pursuant to the registration rights agreement and assuming $1,500,000 of working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loans are converted into warrants, the Company will be obligated to register up to 12,700,000 Class A ordinary shares and 6,950,000 warrants. The number of Class A ordinary shares includes (i) 5,750,000 Class A ordinary shares to be issued upon conversion of the Founder Shares, (ii) 5,450,000 Class A ordinary shares underlying the Private Placement Warrants and (iii) 1,500,000 Class A ordinary shares underlying the warrants that may be issued upon conversion of working capital loans. The number of warrants includes up to 5,450,000 Private Placement Warrants and 1,500,000 warrants that may be issued upon the conversion of working capital loans.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Company’s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underwriting agreement, the Sponsor and the executive officers and directors have agreed that, for a period of 180 days from the date of the Initial Public Offering, they will not, without the prior written consent of the Representative, offer, sell, contract to sell, pledge, sell any option or contract to purchase, purchase any option or contract to sell, grant any option, right or warrant to purchase, lend or otherwise transfer or dispose of, directly or indirectly, any units, warrants, ordinary shares or any other securities convertible into, or exercisable or exchangeable for, any units, ordinary shares, Founder Shares or warrants, subject to certain exceptions. The Representative in its discretion may release any of the securities subject to these lock-up agreements at any time without notice, other than in the case of the officers and directors, which shall be with notice. The Sponsor, officers and directors are also subject to separate transfer restrictions on their Founder Shares and Private Placement Warrants pursuant to the letter agreement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the Underwriters a 45-day option to purchase up to 2,250,000 additional Units to cover over-allotments at the Initial Public Offering price, less the underwriting commissions. On April 30, 2025, simultaneously with the closing of the Initial Public Offering, the Underwriters elected to fully exercise the over-allotment option to purchase the additional 2,250,000 Units at a price of $10.00 per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entitled to (1) an underwriting discount of $0.20 per Unit, or $3,450,000 in the aggregate, of which (i) $0.10 per Unit was paid to the Underwriters in cash at the closing of the Initial Public Offering and (ii) $0.10 per Unit was used by the Underwriters to purchase Private Placement Warrants, and (2) a deferred fee of $0.40 per Unit, or $6,900,000. The deferred fee will become payable to the Underwriters from the amounts held in the Trust Account solely in the event that the Company completes a Business Combination, subject to the terms of the underwriting agreement, and will be based on the amount of funds remaining in the Trust Account after shareholder redemptions of RAAQ Public Shares in connection with the consummation of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8. Shareholders’ Equity (Deficit) </w:t>
      </w:r>
    </w:p>
    <w:p>
      <w:pPr>
        <w:pStyle w:val="TextBody"/>
        <w:bidi w:val="0"/>
        <w:spacing w:before="120" w:after="0"/>
        <w:jc w:val="left"/>
        <w:rPr>
          <w:rFonts w:ascii="Times New Roman" w:hAnsi="Times New Roman"/>
          <w:sz w:val="20"/>
        </w:rPr>
      </w:pPr>
      <w:r>
        <w:rPr>
          <w:rFonts w:ascii="Times New Roman" w:hAnsi="Times New Roman"/>
          <w:b/>
          <w:i/>
          <w:sz w:val="20"/>
        </w:rPr>
        <w:t xml:space="preserve">Preference shares </w:t>
      </w:r>
      <w:r>
        <w:rPr>
          <w:rFonts w:ascii="Times New Roman" w:hAnsi="Times New Roman"/>
          <w:b/>
          <w:sz w:val="20"/>
        </w:rPr>
        <w:t>-</w:t>
      </w:r>
      <w:r>
        <w:rPr>
          <w:rFonts w:ascii="Times New Roman" w:hAnsi="Times New Roman"/>
          <w:sz w:val="20"/>
        </w:rPr>
        <w:t xml:space="preserve"> The Company is authorized to issue 5,000,000 preference shares with a par value of $0.0001 per share with such designations, voting and other rights and preferences as may be determined from time to time by the Company’s board of directors. As of December 31, 2025 and 2024, there were no preference shares issued or outstanding.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A ordinary shares - </w:t>
      </w:r>
      <w:r>
        <w:rPr>
          <w:rFonts w:ascii="Times New Roman" w:hAnsi="Times New Roman"/>
          <w:sz w:val="20"/>
        </w:rPr>
        <w:t xml:space="preserve">The Company is authorized to issue 500,000,000 Class A ordinary shares with a par value of $0.0001 per share. Holders of the Company’s Class A ordinary shares are entitled to one vote for each share. As of December 31, 2025, there were 17,250,000 Class A ordinary shares issued and outstanding, including 17,250,000 Class A ordinary shares subject to possible redemption and classified as temporary equity. As of December 31, 2024, there were no shares of Class A ordinary shares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B ordinary shares - </w:t>
      </w:r>
      <w:r>
        <w:rPr>
          <w:rFonts w:ascii="Times New Roman" w:hAnsi="Times New Roman"/>
          <w:sz w:val="20"/>
        </w:rPr>
        <w:t xml:space="preserve">The Company is authorized to issue 50,000,000 shares of Class B ordinary shares with a par value of $0.0001 per share. Holders of Class B ordinary shares are entitled to one vote for each share. As of December 31, 2025 and 2024,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Company’s shareholders except as required by law. Prior to the closing of the initial Business Combination, only holders of Class B ordinary shares (i) will have the right to appoint and remove directors prior to or in connection with the completion of the initial Business Combination and (ii) will be entitled to vote on continuing the Company in a jurisdiction outside the Cayman Islands (including any special resolution required to amend constitutional documents or to adopt new constitutional documents, in each case, as a result of approving a transfer by way of continuation in a jurisdiction outside the Cayman Islands). On any other matters submitted to a vote of shareholders prior to or in connection with the completion of the initial Business Combination, holders of the Class B ordinary shares and holders of the Class A ordinary shares will vote together as a single class,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a Business Combination, and may be converted at any time prior to the Business Combination, at the option of the holder, on a one-for-one basis (unless otherwise provided in the Business Combination agreement), subject to adjustment for share subdivisions, share dividends, reorganizations, recapitalizations and the like, and subject to further adjustment as provided herein. In the case that additional Class A ordinary shares or equity-linked securities are issued or deemed issued in connection with the Business Combination, the number of Class A ordinary shares issuable upon conversion of all Founder Shares will equal, in the aggregate, on an as-converted basis, approximately 25% of the total number of Class A ordinary shares outstanding after such conversion (not including the Class A ordinary shares underlying the Private Placement Warrants), including the total number of Class A ordinary shares issued, or deemed issued or issuable upon conversion or exercise of any equity-linked securities or rights issued or deemed issued, by the Company in connection with or in relation to the consummation of the Business Combination, excluding any Class A ordinary shares or equity-linked securities or rights exercisable for or convertible into Class A ordinary shares issued, or to be issued, to any seller in the Business Combination and any Private Placement Warrants issued to the Sponsor, officers or directors upon conversion of working capital loans,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b/>
          <w:i/>
          <w:sz w:val="20"/>
        </w:rPr>
        <w:t xml:space="preserve">Warrants - </w:t>
      </w:r>
      <w:r>
        <w:rPr>
          <w:rFonts w:ascii="Times New Roman" w:hAnsi="Times New Roman"/>
          <w:sz w:val="20"/>
        </w:rPr>
        <w:t xml:space="preserve">As of December 31, 2025, there were 14,075,000 warrants issued including 8,625,000 Public Warrants, issued as part of the Units and 5,450,000 Private Placement Warrants. Each whole Public Warrant entitles the registered holder to purchase one Class A ordinary share at a price of $11.50 per share, subject to adjustment as discussed below, at any time commencing 30 days after the completion of the initial Business Combination. Pursuant to the warrant agreement, a warrant holder may exercise its Public Warrants only for a whole number of Class A ordinary shares. No fractional Public Warrants will be issued upon separation of the Units and only whole Public Warrants will trade. The Public Warrants will expire five years after the completion of the initial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as soon as practicable, but in no event later than 20 business days after the closing of the initial Business Combination, the Company will use commercially reasonable efforts to file with the SEC a post-effective amendment to an existing registration statement or a new registration statement covering the registration, under the Securities Act, of the Class A ordinary shares issuable upon exercise of the warrants and thereafter will use the Company’s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call the warrants for redemption for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shares issuable upon exercise or the exercise price of a warrant as described below) for any 20 trading days within a 30-trading day period commencing at least 30 days after completion of the Company’s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when the warrants become redeemable by the Company for cash, the Company may exercise the redemption right even if the Company is unable to register or qualify the underlying securities for sale under all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shares (with such issue price or effective issue price to be determined in good faith by the Company’s board of directors and, in the case of any such issuance to the initial shareholders or their affiliates, without taking into account any Founder Shares held by the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the volume weighted average trading price of the Class A ordinary shares during the 20 trading day period starting on the trading day after the day on which the Company consummates the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(including the Class A ordinary shares issuable upon exercise of the Private Placement Warrants) will not be transferable, assignable or salable until 30 days after the completion of the initial Business Combination. The Private Placement Warrants have terms and provisions that are identical to those of the Public Warrants sold as part of the Units in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the 14,075,000 warrants issued in connection with the Initial Public Offering (including 8,625,000 Public Warrants and 5,450,000 Private Placement Warrants) in accordance with the guidance contained in ASC 815-40. Such guidance provides that the warrants described above are not precluded from equity classification. Equity-classified contracts are initially measured at fair value (or allocated value). Subsequent changes in fair value are not recognized as long as the contracts continue to be classified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the Public Warrants and Private Placement Warrants at issuance was estimated using the Black-Scholes option pricing model, with the following assumptions: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29"/>
        <w:gridCol w:w="528"/>
        <w:gridCol w:w="140"/>
        <w:gridCol w:w="562"/>
        <w:gridCol w:w="280"/>
      </w:tblGrid>
      <w:tr>
        <w:trPr/>
        <w:tc>
          <w:tcPr>
            <w:tcW w:w="5429" w:type="dxa"/>
            <w:tcBorders/>
            <w:vAlign w:val="center"/>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3.6</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2.52</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7.9</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Stock price on valuation date</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10.21</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11.50</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 pricing adjustment</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15.0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Unobservable inputs based on assessment of the assumptions that market participants would use in pricing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about the Company’s assets that are measured at fair value as of December 31, 2025 and 2024 and indicates the fair value hierarchy of the valuation inputs the Company utilized to determine such fair value: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80"/>
        <w:gridCol w:w="409"/>
        <w:gridCol w:w="172"/>
        <w:gridCol w:w="446"/>
        <w:gridCol w:w="60"/>
        <w:gridCol w:w="409"/>
        <w:gridCol w:w="145"/>
        <w:gridCol w:w="1394"/>
        <w:gridCol w:w="60"/>
        <w:gridCol w:w="409"/>
        <w:gridCol w:w="382"/>
        <w:gridCol w:w="1141"/>
        <w:gridCol w:w="65"/>
      </w:tblGrid>
      <w:tr>
        <w:trPr/>
        <w:tc>
          <w:tcPr>
            <w:tcW w:w="348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8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65" w:type="dxa"/>
            <w:tcBorders/>
            <w:vAlign w:val="bottom"/>
          </w:tcPr>
          <w:p>
            <w:pPr>
              <w:pStyle w:val="TableContents"/>
              <w:bidi w:val="0"/>
              <w:spacing w:before="0" w:after="283"/>
              <w:jc w:val="left"/>
              <w:rPr/>
            </w:pPr>
            <w:r>
              <w:rPr/>
              <w:t> </w:t>
            </w:r>
          </w:p>
        </w:tc>
      </w:tr>
      <w:tr>
        <w:trPr/>
        <w:tc>
          <w:tcPr>
            <w:tcW w:w="3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40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177,124,457</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liabilities that are measured at fair value on a recurring basis.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financial statements were issued. Based upon this review and other than the below, the Company did not identify any subsequent events that would have required adjustment or disclosure in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22, 2026, the Company and IQM Finland Oy, a limited liability company (Fi. </w:t>
      </w:r>
      <w:r>
        <w:rPr>
          <w:rFonts w:ascii="Times New Roman" w:hAnsi="Times New Roman"/>
          <w:i/>
          <w:sz w:val="20"/>
        </w:rPr>
        <w:t>osakeyhtiö</w:t>
      </w:r>
      <w:r>
        <w:rPr>
          <w:rFonts w:ascii="Times New Roman" w:hAnsi="Times New Roman"/>
          <w:sz w:val="20"/>
        </w:rPr>
        <w:t>) incorporated under the laws of Finland (“IQM”), IQM US LLC, a Delaware limited liability company and an indirect wholly owned subsidiary of IQM, and Eclipse QC S.à r.l., a Luxembourg private limited liability company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à</w:t>
      </w:r>
      <w:r>
        <w:rPr>
          <w:rFonts w:ascii="Times New Roman" w:hAnsi="Times New Roman"/>
          <w:sz w:val="20"/>
        </w:rPr>
        <w:t xml:space="preserve"> </w:t>
      </w:r>
      <w:r>
        <w:rPr>
          <w:rFonts w:ascii="Times New Roman" w:hAnsi="Times New Roman"/>
          <w:i/>
          <w:sz w:val="20"/>
        </w:rPr>
        <w:t>responsabilité</w:t>
      </w:r>
      <w:r>
        <w:rPr>
          <w:rFonts w:ascii="Times New Roman" w:hAnsi="Times New Roman"/>
          <w:sz w:val="20"/>
        </w:rPr>
        <w:t xml:space="preserve"> </w:t>
      </w:r>
      <w:r>
        <w:rPr>
          <w:rFonts w:ascii="Times New Roman" w:hAnsi="Times New Roman"/>
          <w:i/>
          <w:sz w:val="20"/>
        </w:rPr>
        <w:t>limitée</w:t>
      </w:r>
      <w:r>
        <w:rPr>
          <w:rFonts w:ascii="Times New Roman" w:hAnsi="Times New Roman"/>
          <w:sz w:val="20"/>
        </w:rPr>
        <w:t xml:space="preserve">) and a direct wholly owned subsidiary of IQM, entered into a business combination agreement which will result in IQM becoming a public company and listing American Depositary Shares on one of the two leading U.S. stock exchanges.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is expected to be funded by a combination of the Company’s Trust Account and expected proceeds from a public investment in private equity. The closing of the transaction is expected to occur in the third quarter of 2026 and is subject to approval by the shareholders of the parties and other customary closing conditions, including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fin36013_1011"/>
      <w:bookmarkEnd w:id="43"/>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7"/>
        <w:gridCol w:w="216"/>
        <w:gridCol w:w="140"/>
        <w:gridCol w:w="1247"/>
        <w:gridCol w:w="156"/>
        <w:gridCol w:w="185"/>
        <w:gridCol w:w="151"/>
        <w:gridCol w:w="1350"/>
        <w:gridCol w:w="163"/>
      </w:tblGrid>
      <w:tr>
        <w:trPr/>
        <w:tc>
          <w:tcPr>
            <w:tcW w:w="6597"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67,366</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1,077,837</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54,546</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65,625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20,000</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44,081</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141,912</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1,187,543</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180,097,107</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177,124,457</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21,734</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47" w:type="dxa"/>
            <w:tcBorders/>
            <w:shd w:fill="CCEEFF" w:val="clear"/>
            <w:vAlign w:val="bottom"/>
          </w:tcPr>
          <w:p>
            <w:pPr>
              <w:pStyle w:val="TableContents"/>
              <w:bidi w:val="0"/>
              <w:spacing w:before="0" w:after="283"/>
              <w:jc w:val="right"/>
              <w:rPr>
                <w:b/>
              </w:rPr>
            </w:pPr>
            <w:r>
              <w:rPr>
                <w:b/>
              </w:rPr>
              <w:t>180,239,019</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b/>
              </w:rPr>
            </w:pPr>
            <w:r>
              <w:rPr>
                <w:b/>
              </w:rPr>
              <w:t>$</w:t>
            </w:r>
          </w:p>
        </w:tc>
        <w:tc>
          <w:tcPr>
            <w:tcW w:w="1350" w:type="dxa"/>
            <w:tcBorders/>
            <w:shd w:fill="CCEEFF" w:val="clear"/>
            <w:vAlign w:val="bottom"/>
          </w:tcPr>
          <w:p>
            <w:pPr>
              <w:pStyle w:val="TableContents"/>
              <w:bidi w:val="0"/>
              <w:spacing w:before="0" w:after="283"/>
              <w:jc w:val="right"/>
              <w:rPr>
                <w:b/>
              </w:rPr>
            </w:pPr>
            <w:r>
              <w:rPr>
                <w:b/>
              </w:rPr>
              <w:t>178,333,734</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15,792</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103,059</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38,345</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38,345</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54,137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141,404</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6,900,000</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6,900,000</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6,954,137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7,041,404</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7)</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17,250,000 at redemption value of $10.44 and $10.27 at June 30, 2026 and December 31, 2025, respectively</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180,097,107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177,124,457</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or outstanding at June 30, 2026 and December 31, 2025</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or outstanding at June 30, 2026 and December 31, 2025</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at June 30, 2026 and December 31, 2025</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575</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575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(6,812,800</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(5,832,702</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(6,812,225</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(5,832,127</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180,239,019</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b/>
              </w:rPr>
            </w:pPr>
            <w:r>
              <w:rPr>
                <w:b/>
              </w:rPr>
              <w:t>178,333,734</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fin36013_1012"/>
      <w:bookmarkEnd w:id="44"/>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0"/>
        <w:gridCol w:w="295"/>
        <w:gridCol w:w="140"/>
        <w:gridCol w:w="1123"/>
        <w:gridCol w:w="155"/>
        <w:gridCol w:w="251"/>
        <w:gridCol w:w="140"/>
        <w:gridCol w:w="1123"/>
        <w:gridCol w:w="155"/>
        <w:gridCol w:w="251"/>
        <w:gridCol w:w="140"/>
        <w:gridCol w:w="1123"/>
        <w:gridCol w:w="155"/>
        <w:gridCol w:w="250"/>
        <w:gridCol w:w="140"/>
        <w:gridCol w:w="983"/>
        <w:gridCol w:w="161"/>
      </w:tblGrid>
      <w:tr>
        <w:trPr/>
        <w:tc>
          <w:tcPr>
            <w:tcW w:w="362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9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7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61"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746,577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96,036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994,762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148,885</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(746,577</w:t>
            </w:r>
          </w:p>
        </w:tc>
        <w:tc>
          <w:tcPr>
            <w:tcW w:w="155" w:type="dxa"/>
            <w:tcBorders/>
            <w:vAlign w:val="bottom"/>
          </w:tcPr>
          <w:p>
            <w:pPr>
              <w:pStyle w:val="TableContents"/>
              <w:bidi w:val="0"/>
              <w:spacing w:before="0" w:after="283"/>
              <w:jc w:val="left"/>
              <w:rPr>
                <w:b/>
              </w:rPr>
            </w:pPr>
            <w:r>
              <w:rPr>
                <w:b/>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(96,036</w:t>
            </w:r>
          </w:p>
        </w:tc>
        <w:tc>
          <w:tcPr>
            <w:tcW w:w="155" w:type="dxa"/>
            <w:tcBorders/>
            <w:vAlign w:val="bottom"/>
          </w:tcPr>
          <w:p>
            <w:pPr>
              <w:pStyle w:val="TableContents"/>
              <w:bidi w:val="0"/>
              <w:spacing w:before="0" w:after="283"/>
              <w:jc w:val="left"/>
              <w:rPr>
                <w:b/>
              </w:rPr>
            </w:pPr>
            <w:r>
              <w:rPr>
                <w:b/>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(994,762</w:t>
            </w:r>
          </w:p>
        </w:tc>
        <w:tc>
          <w:tcPr>
            <w:tcW w:w="155" w:type="dxa"/>
            <w:tcBorders/>
            <w:vAlign w:val="bottom"/>
          </w:tcPr>
          <w:p>
            <w:pPr>
              <w:pStyle w:val="TableContents"/>
              <w:bidi w:val="0"/>
              <w:spacing w:before="0" w:after="283"/>
              <w:jc w:val="left"/>
              <w:rPr>
                <w:b/>
              </w:rPr>
            </w:pPr>
            <w:r>
              <w:rPr>
                <w:b/>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(148,885</w:t>
            </w:r>
          </w:p>
        </w:tc>
        <w:tc>
          <w:tcPr>
            <w:tcW w:w="161" w:type="dxa"/>
            <w:tcBorders/>
            <w:vAlign w:val="bottom"/>
          </w:tcPr>
          <w:p>
            <w:pPr>
              <w:pStyle w:val="TableContents"/>
              <w:bidi w:val="0"/>
              <w:spacing w:before="0" w:after="283"/>
              <w:jc w:val="left"/>
              <w:rPr>
                <w:b/>
              </w:rPr>
            </w:pPr>
            <w:r>
              <w:rPr>
                <w:b/>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1,514,352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1,147,520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2,972,424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1,147,520</w:t>
            </w:r>
          </w:p>
        </w:tc>
        <w:tc>
          <w:tcPr>
            <w:tcW w:w="161"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6,483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14,890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774,258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1,051,484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1,992,552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998,635</w:t>
            </w:r>
          </w:p>
        </w:tc>
        <w:tc>
          <w:tcPr>
            <w:tcW w:w="161"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Class A ordinary shares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17,250,000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11,691,667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17,250,000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5,845,833</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Class A ordinary share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0.09</w:t>
            </w:r>
          </w:p>
        </w:tc>
        <w:tc>
          <w:tcPr>
            <w:tcW w:w="161"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Class B ordinary shares(1)</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5,508,333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5,254,167</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per Class B ordinary share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0.09</w:t>
            </w:r>
          </w:p>
        </w:tc>
        <w:tc>
          <w:tcPr>
            <w:tcW w:w="161"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diluted shares outstanding, Class B ordinary shares(1)</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5,375,000</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per Class B ordinary share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0.09</w:t>
            </w:r>
          </w:p>
        </w:tc>
        <w:tc>
          <w:tcPr>
            <w:tcW w:w="161"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basic and diluted net income (loss) per ordinary share for the three and six months ended June 30, 2025 included 750,000 Class B ordinary shares that were subject to forfeiture if the over-allotment option was not exercised in full or in part by the Underwriters (Note 6). On April 30, 2025, the Underwriters’ over-allotment option was exercised in full simultaneously with the closing of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fin36013_1013"/>
      <w:bookmarkEnd w:id="45"/>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CHANGES IN SHAREHOLDERS’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FOR THE THREE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6"/>
        <w:gridCol w:w="210"/>
        <w:gridCol w:w="60"/>
        <w:gridCol w:w="1040"/>
        <w:gridCol w:w="60"/>
        <w:gridCol w:w="210"/>
        <w:gridCol w:w="238"/>
        <w:gridCol w:w="660"/>
        <w:gridCol w:w="60"/>
        <w:gridCol w:w="210"/>
        <w:gridCol w:w="296"/>
        <w:gridCol w:w="850"/>
        <w:gridCol w:w="60"/>
        <w:gridCol w:w="209"/>
        <w:gridCol w:w="160"/>
        <w:gridCol w:w="1278"/>
        <w:gridCol w:w="155"/>
        <w:gridCol w:w="157"/>
        <w:gridCol w:w="169"/>
        <w:gridCol w:w="1371"/>
        <w:gridCol w:w="166"/>
      </w:tblGrid>
      <w:tr>
        <w:trPr/>
        <w:tc>
          <w:tcPr>
            <w:tcW w:w="258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w:t>
            </w:r>
          </w:p>
        </w:tc>
        <w:tc>
          <w:tcPr>
            <w:tcW w:w="60" w:type="dxa"/>
            <w:tcBorders/>
            <w:vAlign w:val="bottom"/>
          </w:tcPr>
          <w:p>
            <w:pPr>
              <w:pStyle w:val="TableContents"/>
              <w:bidi w:val="0"/>
              <w:spacing w:before="0" w:after="283"/>
              <w:jc w:val="left"/>
              <w:rPr/>
            </w:pPr>
            <w:r>
              <w:rPr/>
              <w:t> </w:t>
            </w:r>
          </w:p>
        </w:tc>
        <w:tc>
          <w:tcPr>
            <w:tcW w:w="210" w:type="dxa"/>
            <w:vMerge w:val="restart"/>
            <w:tcBorders/>
            <w:vAlign w:val="bottom"/>
          </w:tcPr>
          <w:p>
            <w:pPr>
              <w:pStyle w:val="TableContents"/>
              <w:bidi w:val="0"/>
              <w:spacing w:before="0" w:after="283"/>
              <w:jc w:val="left"/>
              <w:rPr/>
            </w:pPr>
            <w:r>
              <w:rPr/>
              <w:t>  </w:t>
            </w:r>
          </w:p>
        </w:tc>
        <w:tc>
          <w:tcPr>
            <w:tcW w:w="11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60" w:type="dxa"/>
            <w:vMerge w:val="restart"/>
            <w:tcBorders/>
            <w:vAlign w:val="bottom"/>
          </w:tcPr>
          <w:p>
            <w:pPr>
              <w:pStyle w:val="TableContents"/>
              <w:bidi w:val="0"/>
              <w:spacing w:before="0" w:after="283"/>
              <w:jc w:val="left"/>
              <w:rPr/>
            </w:pPr>
            <w:r>
              <w:rPr/>
              <w:t> </w:t>
            </w:r>
          </w:p>
        </w:tc>
        <w:tc>
          <w:tcPr>
            <w:tcW w:w="209" w:type="dxa"/>
            <w:vMerge w:val="restart"/>
            <w:tcBorders/>
            <w:vAlign w:val="bottom"/>
          </w:tcPr>
          <w:p>
            <w:pPr>
              <w:pStyle w:val="TableContents"/>
              <w:bidi w:val="0"/>
              <w:spacing w:before="0" w:after="283"/>
              <w:jc w:val="left"/>
              <w:rPr/>
            </w:pPr>
            <w:r>
              <w:rPr/>
              <w:t>  </w:t>
            </w:r>
          </w:p>
        </w:tc>
        <w:tc>
          <w:tcPr>
            <w:tcW w:w="143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57"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6" w:type="dxa"/>
            <w:vMerge w:val="restart"/>
            <w:tcBorders/>
            <w:vAlign w:val="bottom"/>
          </w:tcPr>
          <w:p>
            <w:pPr>
              <w:pStyle w:val="TableContents"/>
              <w:bidi w:val="0"/>
              <w:spacing w:before="0" w:after="283"/>
              <w:jc w:val="left"/>
              <w:rPr/>
            </w:pPr>
            <w:r>
              <w:rPr/>
              <w:t> </w:t>
            </w:r>
          </w:p>
        </w:tc>
      </w:tr>
      <w:tr>
        <w:trPr/>
        <w:tc>
          <w:tcPr>
            <w:tcW w:w="25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0" w:type="dxa"/>
            <w:vMerge w:val="continue"/>
            <w:tcBorders/>
            <w:vAlign w:val="bottom"/>
          </w:tcPr>
          <w:p>
            <w:pPr>
              <w:pStyle w:val="Normal"/>
              <w:bidi w:val="0"/>
              <w:jc w:val="left"/>
              <w:rPr/>
            </w:pPr>
            <w:r>
              <w:rPr/>
            </w:r>
          </w:p>
        </w:tc>
        <w:tc>
          <w:tcPr>
            <w:tcW w:w="114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9" w:type="dxa"/>
            <w:vMerge w:val="continue"/>
            <w:tcBorders>
              <w:bottom w:val="single" w:sz="8" w:space="0" w:color="000000"/>
            </w:tcBorders>
            <w:tcMar>
              <w:bottom w:w="28" w:type="dxa"/>
            </w:tcMar>
            <w:vAlign w:val="bottom"/>
          </w:tcPr>
          <w:p>
            <w:pPr>
              <w:pStyle w:val="Normal"/>
              <w:bidi w:val="0"/>
              <w:jc w:val="left"/>
              <w:rPr/>
            </w:pPr>
            <w:r>
              <w:rPr/>
            </w:r>
          </w:p>
        </w:tc>
        <w:tc>
          <w:tcPr>
            <w:tcW w:w="1438"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57"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258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April 1, 2026</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b/>
              </w:rPr>
            </w:pPr>
            <w:r>
              <w:rPr>
                <w:b/>
              </w:rPr>
              <w:t>$</w:t>
            </w:r>
          </w:p>
        </w:tc>
        <w:tc>
          <w:tcPr>
            <w:tcW w:w="660"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78" w:type="dxa"/>
            <w:tcBorders/>
            <w:shd w:fill="CCEEFF" w:val="clear"/>
            <w:vAlign w:val="bottom"/>
          </w:tcPr>
          <w:p>
            <w:pPr>
              <w:pStyle w:val="TableContents"/>
              <w:bidi w:val="0"/>
              <w:spacing w:before="0" w:after="283"/>
              <w:jc w:val="right"/>
              <w:rPr>
                <w:b/>
              </w:rPr>
            </w:pPr>
            <w:r>
              <w:rPr>
                <w:b/>
              </w:rPr>
              <w:t>(6,072,554</w:t>
            </w:r>
          </w:p>
        </w:tc>
        <w:tc>
          <w:tcPr>
            <w:tcW w:w="155" w:type="dxa"/>
            <w:tcBorders/>
            <w:shd w:fill="CCEEFF" w:val="clear"/>
            <w:vAlign w:val="bottom"/>
          </w:tcPr>
          <w:p>
            <w:pPr>
              <w:pStyle w:val="TableContents"/>
              <w:bidi w:val="0"/>
              <w:spacing w:before="0" w:after="283"/>
              <w:jc w:val="lef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371" w:type="dxa"/>
            <w:tcBorders/>
            <w:shd w:fill="CCEEFF" w:val="clear"/>
            <w:vAlign w:val="bottom"/>
          </w:tcPr>
          <w:p>
            <w:pPr>
              <w:pStyle w:val="TableContents"/>
              <w:bidi w:val="0"/>
              <w:spacing w:before="0" w:after="283"/>
              <w:jc w:val="right"/>
              <w:rPr>
                <w:b/>
              </w:rPr>
            </w:pPr>
            <w:r>
              <w:rPr>
                <w:b/>
              </w:rPr>
              <w:t>(6,071,979</w:t>
            </w:r>
          </w:p>
        </w:tc>
        <w:tc>
          <w:tcPr>
            <w:tcW w:w="166" w:type="dxa"/>
            <w:tcBorders/>
            <w:shd w:fill="CCEEFF" w:val="clear"/>
            <w:vAlign w:val="bottom"/>
          </w:tcPr>
          <w:p>
            <w:pPr>
              <w:pStyle w:val="TableContents"/>
              <w:bidi w:val="0"/>
              <w:spacing w:before="0" w:after="283"/>
              <w:jc w:val="left"/>
              <w:rPr>
                <w:b/>
              </w:rPr>
            </w:pPr>
            <w:r>
              <w:rPr>
                <w:b/>
              </w:rPr>
              <w:t>) </w:t>
            </w:r>
          </w:p>
        </w:tc>
      </w:tr>
      <w:tr>
        <w:trPr/>
        <w:tc>
          <w:tcPr>
            <w:tcW w:w="2586"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possible redemption to redemption value</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(1,514,504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(1,514,504</w:t>
            </w:r>
          </w:p>
        </w:tc>
        <w:tc>
          <w:tcPr>
            <w:tcW w:w="166" w:type="dxa"/>
            <w:tcBorders/>
            <w:vAlign w:val="bottom"/>
          </w:tcPr>
          <w:p>
            <w:pPr>
              <w:pStyle w:val="TableContents"/>
              <w:bidi w:val="0"/>
              <w:spacing w:before="0" w:after="283"/>
              <w:jc w:val="left"/>
              <w:rPr/>
            </w:pPr>
            <w:r>
              <w:rPr/>
              <w:t>) </w:t>
            </w:r>
          </w:p>
        </w:tc>
      </w:tr>
      <w:tr>
        <w:trPr>
          <w:trHeight w:val="120" w:hRule="atLeast"/>
        </w:trPr>
        <w:tc>
          <w:tcPr>
            <w:tcW w:w="2586" w:type="dxa"/>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68" w:type="dxa"/>
            <w:gridSpan w:val="4"/>
            <w:tcBorders/>
            <w:vAlign w:val="center"/>
          </w:tcPr>
          <w:p>
            <w:pPr>
              <w:pStyle w:val="TableContents"/>
              <w:bidi w:val="0"/>
              <w:spacing w:before="0" w:after="283"/>
              <w:jc w:val="left"/>
              <w:rPr>
                <w:sz w:val="4"/>
                <w:szCs w:val="4"/>
              </w:rPr>
            </w:pPr>
            <w:r>
              <w:rPr>
                <w:sz w:val="4"/>
                <w:szCs w:val="4"/>
              </w:rPr>
            </w:r>
          </w:p>
        </w:tc>
        <w:tc>
          <w:tcPr>
            <w:tcW w:w="1416" w:type="dxa"/>
            <w:gridSpan w:val="4"/>
            <w:tcBorders/>
            <w:vAlign w:val="center"/>
          </w:tcPr>
          <w:p>
            <w:pPr>
              <w:pStyle w:val="TableContents"/>
              <w:bidi w:val="0"/>
              <w:spacing w:before="0" w:after="283"/>
              <w:jc w:val="left"/>
              <w:rPr>
                <w:sz w:val="4"/>
                <w:szCs w:val="4"/>
              </w:rPr>
            </w:pPr>
            <w:r>
              <w:rPr>
                <w:sz w:val="4"/>
                <w:szCs w:val="4"/>
              </w:rPr>
            </w:r>
          </w:p>
        </w:tc>
        <w:tc>
          <w:tcPr>
            <w:tcW w:w="1802" w:type="dxa"/>
            <w:gridSpan w:val="4"/>
            <w:tcBorders/>
            <w:vAlign w:val="center"/>
          </w:tcPr>
          <w:p>
            <w:pPr>
              <w:pStyle w:val="TableContents"/>
              <w:bidi w:val="0"/>
              <w:spacing w:before="0" w:after="283"/>
              <w:jc w:val="left"/>
              <w:rPr>
                <w:sz w:val="4"/>
                <w:szCs w:val="4"/>
              </w:rPr>
            </w:pPr>
            <w:r>
              <w:rPr>
                <w:sz w:val="4"/>
                <w:szCs w:val="4"/>
              </w:rPr>
            </w:r>
          </w:p>
        </w:tc>
        <w:tc>
          <w:tcPr>
            <w:tcW w:w="1863" w:type="dxa"/>
            <w:gridSpan w:val="4"/>
            <w:tcBorders/>
            <w:vAlign w:val="center"/>
          </w:tcPr>
          <w:p>
            <w:pPr>
              <w:pStyle w:val="TableContents"/>
              <w:bidi w:val="0"/>
              <w:spacing w:before="0" w:after="283"/>
              <w:jc w:val="left"/>
              <w:rPr>
                <w:sz w:val="4"/>
                <w:szCs w:val="4"/>
              </w:rPr>
            </w:pPr>
            <w:r>
              <w:rPr>
                <w:sz w:val="4"/>
                <w:szCs w:val="4"/>
              </w:rPr>
            </w:r>
          </w:p>
        </w:tc>
      </w:tr>
      <w:tr>
        <w:trPr/>
        <w:tc>
          <w:tcPr>
            <w:tcW w:w="2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774,258</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774,258</w:t>
            </w:r>
          </w:p>
        </w:tc>
        <w:tc>
          <w:tcPr>
            <w:tcW w:w="166" w:type="dxa"/>
            <w:tcBorders/>
            <w:shd w:fill="CCEEFF" w:val="clear"/>
            <w:vAlign w:val="bottom"/>
          </w:tcPr>
          <w:p>
            <w:pPr>
              <w:pStyle w:val="TableContents"/>
              <w:bidi w:val="0"/>
              <w:spacing w:before="0" w:after="283"/>
              <w:jc w:val="left"/>
              <w:rPr/>
            </w:pPr>
            <w:r>
              <w:rPr/>
              <w:t> </w:t>
            </w:r>
          </w:p>
        </w:tc>
      </w:tr>
      <w:tr>
        <w:trPr/>
        <w:tc>
          <w:tcPr>
            <w:tcW w:w="258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2026 (unaudited)</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b/>
              </w:rPr>
            </w:pPr>
            <w:r>
              <w:rPr>
                <w:b/>
              </w:rPr>
              <w:t>$</w:t>
            </w:r>
          </w:p>
        </w:tc>
        <w:tc>
          <w:tcPr>
            <w:tcW w:w="66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1278" w:type="dxa"/>
            <w:tcBorders/>
            <w:vAlign w:val="bottom"/>
          </w:tcPr>
          <w:p>
            <w:pPr>
              <w:pStyle w:val="TableContents"/>
              <w:bidi w:val="0"/>
              <w:spacing w:before="0" w:after="283"/>
              <w:jc w:val="right"/>
              <w:rPr>
                <w:b/>
              </w:rPr>
            </w:pPr>
            <w:r>
              <w:rPr>
                <w:b/>
              </w:rPr>
              <w:t>(6,812,800</w:t>
            </w:r>
          </w:p>
        </w:tc>
        <w:tc>
          <w:tcPr>
            <w:tcW w:w="155" w:type="dxa"/>
            <w:tcBorders/>
            <w:vAlign w:val="bottom"/>
          </w:tcPr>
          <w:p>
            <w:pPr>
              <w:pStyle w:val="TableContents"/>
              <w:bidi w:val="0"/>
              <w:spacing w:before="0" w:after="283"/>
              <w:jc w:val="left"/>
              <w:rPr>
                <w:b/>
              </w:rPr>
            </w:pPr>
            <w:r>
              <w:rPr>
                <w:b/>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371" w:type="dxa"/>
            <w:tcBorders/>
            <w:vAlign w:val="bottom"/>
          </w:tcPr>
          <w:p>
            <w:pPr>
              <w:pStyle w:val="TableContents"/>
              <w:bidi w:val="0"/>
              <w:spacing w:before="0" w:after="283"/>
              <w:jc w:val="right"/>
              <w:rPr>
                <w:b/>
              </w:rPr>
            </w:pPr>
            <w:r>
              <w:rPr>
                <w:b/>
              </w:rPr>
              <w:t>(6,812,225</w:t>
            </w:r>
          </w:p>
        </w:tc>
        <w:tc>
          <w:tcPr>
            <w:tcW w:w="166" w:type="dxa"/>
            <w:tcBorders/>
            <w:vAlign w:val="bottom"/>
          </w:tcPr>
          <w:p>
            <w:pPr>
              <w:pStyle w:val="TableContents"/>
              <w:bidi w:val="0"/>
              <w:spacing w:before="0" w:after="283"/>
              <w:jc w:val="left"/>
              <w:rPr>
                <w:b/>
              </w:rPr>
            </w:pPr>
            <w:r>
              <w:rPr>
                <w:b/>
              </w:rPr>
              <w:t>) </w:t>
            </w:r>
          </w:p>
        </w:tc>
      </w:tr>
      <w:tr>
        <w:trPr/>
        <w:tc>
          <w:tcPr>
            <w:tcW w:w="258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6"/>
        <w:gridCol w:w="210"/>
        <w:gridCol w:w="60"/>
        <w:gridCol w:w="1040"/>
        <w:gridCol w:w="60"/>
        <w:gridCol w:w="210"/>
        <w:gridCol w:w="238"/>
        <w:gridCol w:w="660"/>
        <w:gridCol w:w="60"/>
        <w:gridCol w:w="210"/>
        <w:gridCol w:w="296"/>
        <w:gridCol w:w="850"/>
        <w:gridCol w:w="60"/>
        <w:gridCol w:w="209"/>
        <w:gridCol w:w="160"/>
        <w:gridCol w:w="1278"/>
        <w:gridCol w:w="155"/>
        <w:gridCol w:w="157"/>
        <w:gridCol w:w="169"/>
        <w:gridCol w:w="1371"/>
        <w:gridCol w:w="166"/>
      </w:tblGrid>
      <w:tr>
        <w:trPr/>
        <w:tc>
          <w:tcPr>
            <w:tcW w:w="258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w:t>
            </w:r>
          </w:p>
        </w:tc>
        <w:tc>
          <w:tcPr>
            <w:tcW w:w="60" w:type="dxa"/>
            <w:tcBorders/>
            <w:vAlign w:val="bottom"/>
          </w:tcPr>
          <w:p>
            <w:pPr>
              <w:pStyle w:val="TableContents"/>
              <w:bidi w:val="0"/>
              <w:spacing w:before="0" w:after="283"/>
              <w:jc w:val="left"/>
              <w:rPr/>
            </w:pPr>
            <w:r>
              <w:rPr/>
              <w:t> </w:t>
            </w:r>
          </w:p>
        </w:tc>
        <w:tc>
          <w:tcPr>
            <w:tcW w:w="210" w:type="dxa"/>
            <w:vMerge w:val="restart"/>
            <w:tcBorders/>
            <w:vAlign w:val="bottom"/>
          </w:tcPr>
          <w:p>
            <w:pPr>
              <w:pStyle w:val="TableContents"/>
              <w:bidi w:val="0"/>
              <w:spacing w:before="0" w:after="283"/>
              <w:jc w:val="left"/>
              <w:rPr/>
            </w:pPr>
            <w:r>
              <w:rPr/>
              <w:t>  </w:t>
            </w:r>
          </w:p>
        </w:tc>
        <w:tc>
          <w:tcPr>
            <w:tcW w:w="11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60" w:type="dxa"/>
            <w:vMerge w:val="restart"/>
            <w:tcBorders/>
            <w:vAlign w:val="bottom"/>
          </w:tcPr>
          <w:p>
            <w:pPr>
              <w:pStyle w:val="TableContents"/>
              <w:bidi w:val="0"/>
              <w:spacing w:before="0" w:after="283"/>
              <w:jc w:val="left"/>
              <w:rPr/>
            </w:pPr>
            <w:r>
              <w:rPr/>
              <w:t> </w:t>
            </w:r>
          </w:p>
        </w:tc>
        <w:tc>
          <w:tcPr>
            <w:tcW w:w="209" w:type="dxa"/>
            <w:vMerge w:val="restart"/>
            <w:tcBorders/>
            <w:vAlign w:val="bottom"/>
          </w:tcPr>
          <w:p>
            <w:pPr>
              <w:pStyle w:val="TableContents"/>
              <w:bidi w:val="0"/>
              <w:spacing w:before="0" w:after="283"/>
              <w:jc w:val="left"/>
              <w:rPr/>
            </w:pPr>
            <w:r>
              <w:rPr/>
              <w:t>  </w:t>
            </w:r>
          </w:p>
        </w:tc>
        <w:tc>
          <w:tcPr>
            <w:tcW w:w="143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57"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6" w:type="dxa"/>
            <w:vMerge w:val="restart"/>
            <w:tcBorders/>
            <w:vAlign w:val="bottom"/>
          </w:tcPr>
          <w:p>
            <w:pPr>
              <w:pStyle w:val="TableContents"/>
              <w:bidi w:val="0"/>
              <w:spacing w:before="0" w:after="283"/>
              <w:jc w:val="left"/>
              <w:rPr/>
            </w:pPr>
            <w:r>
              <w:rPr/>
              <w:t> </w:t>
            </w:r>
          </w:p>
        </w:tc>
      </w:tr>
      <w:tr>
        <w:trPr/>
        <w:tc>
          <w:tcPr>
            <w:tcW w:w="25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0" w:type="dxa"/>
            <w:vMerge w:val="continue"/>
            <w:tcBorders/>
            <w:vAlign w:val="bottom"/>
          </w:tcPr>
          <w:p>
            <w:pPr>
              <w:pStyle w:val="Normal"/>
              <w:bidi w:val="0"/>
              <w:jc w:val="left"/>
              <w:rPr/>
            </w:pPr>
            <w:r>
              <w:rPr/>
            </w:r>
          </w:p>
        </w:tc>
        <w:tc>
          <w:tcPr>
            <w:tcW w:w="114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9" w:type="dxa"/>
            <w:vMerge w:val="continue"/>
            <w:tcBorders>
              <w:bottom w:val="single" w:sz="8" w:space="0" w:color="000000"/>
            </w:tcBorders>
            <w:tcMar>
              <w:bottom w:w="28" w:type="dxa"/>
            </w:tcMar>
            <w:vAlign w:val="bottom"/>
          </w:tcPr>
          <w:p>
            <w:pPr>
              <w:pStyle w:val="Normal"/>
              <w:bidi w:val="0"/>
              <w:jc w:val="left"/>
              <w:rPr/>
            </w:pPr>
            <w:r>
              <w:rPr/>
            </w:r>
          </w:p>
        </w:tc>
        <w:tc>
          <w:tcPr>
            <w:tcW w:w="1438"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57"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25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January 1, 2026</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b/>
              </w:rPr>
            </w:pPr>
            <w:r>
              <w:rPr>
                <w:b/>
              </w:rPr>
              <w:t>$</w:t>
            </w:r>
          </w:p>
        </w:tc>
        <w:tc>
          <w:tcPr>
            <w:tcW w:w="660"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78" w:type="dxa"/>
            <w:tcBorders/>
            <w:shd w:fill="CCEEFF" w:val="clear"/>
            <w:vAlign w:val="bottom"/>
          </w:tcPr>
          <w:p>
            <w:pPr>
              <w:pStyle w:val="TableContents"/>
              <w:bidi w:val="0"/>
              <w:spacing w:before="0" w:after="283"/>
              <w:jc w:val="right"/>
              <w:rPr>
                <w:b/>
              </w:rPr>
            </w:pPr>
            <w:r>
              <w:rPr>
                <w:b/>
              </w:rPr>
              <w:t>(5,832,702</w:t>
            </w:r>
          </w:p>
        </w:tc>
        <w:tc>
          <w:tcPr>
            <w:tcW w:w="155" w:type="dxa"/>
            <w:tcBorders/>
            <w:shd w:fill="CCEEFF" w:val="clear"/>
            <w:vAlign w:val="bottom"/>
          </w:tcPr>
          <w:p>
            <w:pPr>
              <w:pStyle w:val="TableContents"/>
              <w:bidi w:val="0"/>
              <w:spacing w:before="0" w:after="283"/>
              <w:jc w:val="lef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371" w:type="dxa"/>
            <w:tcBorders/>
            <w:shd w:fill="CCEEFF" w:val="clear"/>
            <w:vAlign w:val="bottom"/>
          </w:tcPr>
          <w:p>
            <w:pPr>
              <w:pStyle w:val="TableContents"/>
              <w:bidi w:val="0"/>
              <w:spacing w:before="0" w:after="283"/>
              <w:jc w:val="right"/>
              <w:rPr>
                <w:b/>
              </w:rPr>
            </w:pPr>
            <w:r>
              <w:rPr>
                <w:b/>
              </w:rPr>
              <w:t>(5,832,127</w:t>
            </w:r>
          </w:p>
        </w:tc>
        <w:tc>
          <w:tcPr>
            <w:tcW w:w="166" w:type="dxa"/>
            <w:tcBorders/>
            <w:shd w:fill="CCEEFF" w:val="clear"/>
            <w:vAlign w:val="bottom"/>
          </w:tcPr>
          <w:p>
            <w:pPr>
              <w:pStyle w:val="TableContents"/>
              <w:bidi w:val="0"/>
              <w:spacing w:before="0" w:after="283"/>
              <w:jc w:val="left"/>
              <w:rPr>
                <w:b/>
              </w:rPr>
            </w:pPr>
            <w:r>
              <w:rPr>
                <w:b/>
              </w:rPr>
              <w:t>) </w:t>
            </w:r>
          </w:p>
        </w:tc>
      </w:tr>
      <w:tr>
        <w:trPr/>
        <w:tc>
          <w:tcPr>
            <w:tcW w:w="2586"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possible redemption to redemption value</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(2,972,650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(2,972,650</w:t>
            </w:r>
          </w:p>
        </w:tc>
        <w:tc>
          <w:tcPr>
            <w:tcW w:w="166" w:type="dxa"/>
            <w:tcBorders/>
            <w:vAlign w:val="bottom"/>
          </w:tcPr>
          <w:p>
            <w:pPr>
              <w:pStyle w:val="TableContents"/>
              <w:bidi w:val="0"/>
              <w:spacing w:before="0" w:after="283"/>
              <w:jc w:val="left"/>
              <w:rPr/>
            </w:pPr>
            <w:r>
              <w:rPr/>
              <w:t>) </w:t>
            </w:r>
          </w:p>
        </w:tc>
      </w:tr>
      <w:tr>
        <w:trPr/>
        <w:tc>
          <w:tcPr>
            <w:tcW w:w="2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1,992,552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1,992,552</w:t>
            </w:r>
          </w:p>
        </w:tc>
        <w:tc>
          <w:tcPr>
            <w:tcW w:w="166" w:type="dxa"/>
            <w:tcBorders/>
            <w:shd w:fill="CCEEFF" w:val="clear"/>
            <w:vAlign w:val="bottom"/>
          </w:tcPr>
          <w:p>
            <w:pPr>
              <w:pStyle w:val="TableContents"/>
              <w:bidi w:val="0"/>
              <w:spacing w:before="0" w:after="283"/>
              <w:jc w:val="left"/>
              <w:rPr/>
            </w:pPr>
            <w:r>
              <w:rPr/>
              <w:t> </w:t>
            </w:r>
          </w:p>
        </w:tc>
      </w:tr>
      <w:tr>
        <w:trPr/>
        <w:tc>
          <w:tcPr>
            <w:tcW w:w="258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2026 (unaudited)</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b/>
              </w:rPr>
            </w:pPr>
            <w:r>
              <w:rPr>
                <w:b/>
              </w:rPr>
              <w:t>(6,812,800</w:t>
            </w:r>
          </w:p>
        </w:tc>
        <w:tc>
          <w:tcPr>
            <w:tcW w:w="155" w:type="dxa"/>
            <w:tcBorders/>
            <w:vAlign w:val="bottom"/>
          </w:tcPr>
          <w:p>
            <w:pPr>
              <w:pStyle w:val="TableContents"/>
              <w:bidi w:val="0"/>
              <w:spacing w:before="0" w:after="283"/>
              <w:jc w:val="left"/>
              <w:rPr>
                <w:b/>
              </w:rPr>
            </w:pPr>
            <w:r>
              <w:rPr>
                <w:b/>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b/>
              </w:rPr>
            </w:pPr>
            <w:r>
              <w:rPr>
                <w:b/>
              </w:rPr>
              <w:t>(6,812,225</w:t>
            </w:r>
          </w:p>
        </w:tc>
        <w:tc>
          <w:tcPr>
            <w:tcW w:w="166" w:type="dxa"/>
            <w:tcBorders/>
            <w:vAlign w:val="bottom"/>
          </w:tcPr>
          <w:p>
            <w:pPr>
              <w:pStyle w:val="TableContents"/>
              <w:bidi w:val="0"/>
              <w:spacing w:before="0" w:after="283"/>
              <w:jc w:val="left"/>
              <w:rPr>
                <w:b/>
              </w:rPr>
            </w:pPr>
            <w:r>
              <w:rPr>
                <w:b/>
              </w:rPr>
              <w:t>) </w:t>
            </w:r>
          </w:p>
        </w:tc>
      </w:tr>
      <w:tr>
        <w:trPr/>
        <w:tc>
          <w:tcPr>
            <w:tcW w:w="258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CHANGES IN SHAREHOLDERS’ DEFICIT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FOR THE THREE MONTHS ENDED JUNE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5"/>
        <w:gridCol w:w="211"/>
        <w:gridCol w:w="60"/>
        <w:gridCol w:w="1009"/>
        <w:gridCol w:w="60"/>
        <w:gridCol w:w="211"/>
        <w:gridCol w:w="231"/>
        <w:gridCol w:w="640"/>
        <w:gridCol w:w="60"/>
        <w:gridCol w:w="211"/>
        <w:gridCol w:w="140"/>
        <w:gridCol w:w="1109"/>
        <w:gridCol w:w="155"/>
        <w:gridCol w:w="161"/>
        <w:gridCol w:w="159"/>
        <w:gridCol w:w="1276"/>
        <w:gridCol w:w="155"/>
        <w:gridCol w:w="161"/>
        <w:gridCol w:w="153"/>
        <w:gridCol w:w="1345"/>
        <w:gridCol w:w="163"/>
      </w:tblGrid>
      <w:tr>
        <w:trPr/>
        <w:tc>
          <w:tcPr>
            <w:tcW w:w="253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2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Shares1</w:t>
            </w:r>
          </w:p>
        </w:tc>
        <w:tc>
          <w:tcPr>
            <w:tcW w:w="60" w:type="dxa"/>
            <w:tcBorders/>
            <w:vAlign w:val="bottom"/>
          </w:tcPr>
          <w:p>
            <w:pPr>
              <w:pStyle w:val="TableContents"/>
              <w:bidi w:val="0"/>
              <w:spacing w:before="0" w:after="283"/>
              <w:jc w:val="left"/>
              <w:rPr/>
            </w:pPr>
            <w:r>
              <w:rPr/>
              <w:t> </w:t>
            </w:r>
          </w:p>
        </w:tc>
        <w:tc>
          <w:tcPr>
            <w:tcW w:w="211" w:type="dxa"/>
            <w:vMerge w:val="restart"/>
            <w:tcBorders/>
            <w:vAlign w:val="bottom"/>
          </w:tcPr>
          <w:p>
            <w:pPr>
              <w:pStyle w:val="TableContents"/>
              <w:bidi w:val="0"/>
              <w:spacing w:before="0" w:after="283"/>
              <w:jc w:val="left"/>
              <w:rPr/>
            </w:pPr>
            <w:r>
              <w:rPr/>
              <w:t>  </w:t>
            </w:r>
          </w:p>
        </w:tc>
        <w:tc>
          <w:tcPr>
            <w:tcW w:w="124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155" w:type="dxa"/>
            <w:vMerge w:val="restart"/>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3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9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3" w:type="dxa"/>
            <w:vMerge w:val="restart"/>
            <w:tcBorders/>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1" w:type="dxa"/>
            <w:vMerge w:val="continue"/>
            <w:tcBorders/>
            <w:vAlign w:val="bottom"/>
          </w:tcPr>
          <w:p>
            <w:pPr>
              <w:pStyle w:val="Normal"/>
              <w:bidi w:val="0"/>
              <w:jc w:val="left"/>
              <w:rPr/>
            </w:pPr>
            <w:r>
              <w:rPr/>
            </w:r>
          </w:p>
        </w:tc>
        <w:tc>
          <w:tcPr>
            <w:tcW w:w="1249"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61" w:type="dxa"/>
            <w:vMerge w:val="continue"/>
            <w:tcBorders>
              <w:bottom w:val="single" w:sz="8" w:space="0" w:color="000000"/>
            </w:tcBorders>
            <w:tcMar>
              <w:bottom w:w="28" w:type="dxa"/>
            </w:tcMar>
            <w:vAlign w:val="bottom"/>
          </w:tcPr>
          <w:p>
            <w:pPr>
              <w:pStyle w:val="Normal"/>
              <w:bidi w:val="0"/>
              <w:jc w:val="left"/>
              <w:rPr/>
            </w:pPr>
            <w:r>
              <w:rPr/>
            </w:r>
          </w:p>
        </w:tc>
        <w:tc>
          <w:tcPr>
            <w:tcW w:w="143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61" w:type="dxa"/>
            <w:vMerge w:val="continue"/>
            <w:tcBorders/>
            <w:vAlign w:val="bottom"/>
          </w:tcPr>
          <w:p>
            <w:pPr>
              <w:pStyle w:val="Normal"/>
              <w:bidi w:val="0"/>
              <w:jc w:val="left"/>
              <w:rPr/>
            </w:pPr>
            <w:r>
              <w:rPr/>
            </w:r>
          </w:p>
        </w:tc>
        <w:tc>
          <w:tcPr>
            <w:tcW w:w="1498"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25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April 1, 2025</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40"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76" w:type="dxa"/>
            <w:tcBorders/>
            <w:shd w:fill="CCEEFF" w:val="clear"/>
            <w:vAlign w:val="bottom"/>
          </w:tcPr>
          <w:p>
            <w:pPr>
              <w:pStyle w:val="TableContents"/>
              <w:bidi w:val="0"/>
              <w:spacing w:before="0" w:after="283"/>
              <w:jc w:val="right"/>
              <w:rPr>
                <w:b/>
              </w:rPr>
            </w:pPr>
            <w:r>
              <w:rPr>
                <w:b/>
              </w:rPr>
              <w:t>(53,936</w:t>
            </w:r>
          </w:p>
        </w:tc>
        <w:tc>
          <w:tcPr>
            <w:tcW w:w="155" w:type="dxa"/>
            <w:tcBorders/>
            <w:shd w:fill="CCEEFF" w:val="clear"/>
            <w:vAlign w:val="bottom"/>
          </w:tcPr>
          <w:p>
            <w:pPr>
              <w:pStyle w:val="TableContents"/>
              <w:bidi w:val="0"/>
              <w:spacing w:before="0" w:after="283"/>
              <w:jc w:val="left"/>
              <w:rPr>
                <w:b/>
              </w:rPr>
            </w:pPr>
            <w:r>
              <w:rPr>
                <w:b/>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45" w:type="dxa"/>
            <w:tcBorders/>
            <w:shd w:fill="CCEEFF" w:val="clear"/>
            <w:vAlign w:val="bottom"/>
          </w:tcPr>
          <w:p>
            <w:pPr>
              <w:pStyle w:val="TableContents"/>
              <w:bidi w:val="0"/>
              <w:spacing w:before="0" w:after="283"/>
              <w:jc w:val="right"/>
              <w:rPr>
                <w:b/>
              </w:rPr>
            </w:pPr>
            <w:r>
              <w:rPr>
                <w:b/>
              </w:rPr>
              <w:t>(28,936</w:t>
            </w:r>
          </w:p>
        </w:tc>
        <w:tc>
          <w:tcPr>
            <w:tcW w:w="163" w:type="dxa"/>
            <w:tcBorders/>
            <w:shd w:fill="CCEEFF" w:val="clear"/>
            <w:vAlign w:val="bottom"/>
          </w:tcPr>
          <w:p>
            <w:pPr>
              <w:pStyle w:val="TableContents"/>
              <w:bidi w:val="0"/>
              <w:spacing w:before="0" w:after="283"/>
              <w:jc w:val="left"/>
              <w:rPr>
                <w:b/>
              </w:rPr>
            </w:pPr>
            <w:r>
              <w:rPr>
                <w:b/>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 Warrants, less issuance costs</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5,432,207</w:t>
            </w:r>
          </w:p>
        </w:tc>
        <w:tc>
          <w:tcPr>
            <w:tcW w:w="163"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Public Warrants, less issuance costs</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323,195</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redemption to redemption value</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(5,779,827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(6,621,940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(12,401,767</w:t>
            </w:r>
          </w:p>
        </w:tc>
        <w:tc>
          <w:tcPr>
            <w:tcW w:w="163"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1,051,484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1,051,484</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76" w:type="dxa"/>
            <w:tcBorders/>
            <w:vAlign w:val="bottom"/>
          </w:tcPr>
          <w:p>
            <w:pPr>
              <w:pStyle w:val="TableContents"/>
              <w:bidi w:val="0"/>
              <w:spacing w:before="0" w:after="283"/>
              <w:jc w:val="right"/>
              <w:rPr>
                <w:b/>
              </w:rPr>
            </w:pPr>
            <w:r>
              <w:rPr>
                <w:b/>
              </w:rPr>
              <w:t>(5,624,392</w:t>
            </w:r>
          </w:p>
        </w:tc>
        <w:tc>
          <w:tcPr>
            <w:tcW w:w="155" w:type="dxa"/>
            <w:tcBorders/>
            <w:vAlign w:val="bottom"/>
          </w:tcPr>
          <w:p>
            <w:pPr>
              <w:pStyle w:val="TableContents"/>
              <w:bidi w:val="0"/>
              <w:spacing w:before="0" w:after="283"/>
              <w:jc w:val="left"/>
              <w:rPr>
                <w:b/>
              </w:rPr>
            </w:pPr>
            <w:r>
              <w:rPr>
                <w:b/>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345" w:type="dxa"/>
            <w:tcBorders/>
            <w:vAlign w:val="bottom"/>
          </w:tcPr>
          <w:p>
            <w:pPr>
              <w:pStyle w:val="TableContents"/>
              <w:bidi w:val="0"/>
              <w:spacing w:before="0" w:after="283"/>
              <w:jc w:val="right"/>
              <w:rPr>
                <w:b/>
              </w:rPr>
            </w:pPr>
            <w:r>
              <w:rPr>
                <w:b/>
              </w:rPr>
              <w:t>(5,623,817</w:t>
            </w:r>
          </w:p>
        </w:tc>
        <w:tc>
          <w:tcPr>
            <w:tcW w:w="163" w:type="dxa"/>
            <w:tcBorders/>
            <w:vAlign w:val="bottom"/>
          </w:tcPr>
          <w:p>
            <w:pPr>
              <w:pStyle w:val="TableContents"/>
              <w:bidi w:val="0"/>
              <w:spacing w:before="0" w:after="283"/>
              <w:jc w:val="left"/>
              <w:rPr>
                <w:b/>
              </w:rPr>
            </w:pPr>
            <w:r>
              <w:rPr>
                <w:b/>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 THE SIX MONTHS ENDED JUNE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5"/>
        <w:gridCol w:w="211"/>
        <w:gridCol w:w="60"/>
        <w:gridCol w:w="1009"/>
        <w:gridCol w:w="60"/>
        <w:gridCol w:w="211"/>
        <w:gridCol w:w="231"/>
        <w:gridCol w:w="640"/>
        <w:gridCol w:w="60"/>
        <w:gridCol w:w="211"/>
        <w:gridCol w:w="140"/>
        <w:gridCol w:w="1109"/>
        <w:gridCol w:w="155"/>
        <w:gridCol w:w="161"/>
        <w:gridCol w:w="159"/>
        <w:gridCol w:w="1276"/>
        <w:gridCol w:w="155"/>
        <w:gridCol w:w="161"/>
        <w:gridCol w:w="153"/>
        <w:gridCol w:w="1345"/>
        <w:gridCol w:w="163"/>
      </w:tblGrid>
      <w:tr>
        <w:trPr/>
        <w:tc>
          <w:tcPr>
            <w:tcW w:w="253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2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Shares1</w:t>
            </w:r>
          </w:p>
        </w:tc>
        <w:tc>
          <w:tcPr>
            <w:tcW w:w="60" w:type="dxa"/>
            <w:tcBorders/>
            <w:vAlign w:val="bottom"/>
          </w:tcPr>
          <w:p>
            <w:pPr>
              <w:pStyle w:val="TableContents"/>
              <w:bidi w:val="0"/>
              <w:spacing w:before="0" w:after="283"/>
              <w:jc w:val="left"/>
              <w:rPr/>
            </w:pPr>
            <w:r>
              <w:rPr/>
              <w:t> </w:t>
            </w:r>
          </w:p>
        </w:tc>
        <w:tc>
          <w:tcPr>
            <w:tcW w:w="211" w:type="dxa"/>
            <w:vMerge w:val="restart"/>
            <w:tcBorders/>
            <w:vAlign w:val="bottom"/>
          </w:tcPr>
          <w:p>
            <w:pPr>
              <w:pStyle w:val="TableContents"/>
              <w:bidi w:val="0"/>
              <w:spacing w:before="0" w:after="283"/>
              <w:jc w:val="left"/>
              <w:rPr/>
            </w:pPr>
            <w:r>
              <w:rPr/>
              <w:t>  </w:t>
            </w:r>
          </w:p>
        </w:tc>
        <w:tc>
          <w:tcPr>
            <w:tcW w:w="124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155" w:type="dxa"/>
            <w:vMerge w:val="restart"/>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3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9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Equity</w:t>
            </w:r>
            <w:r>
              <w:rPr/>
              <w:br/>
            </w:r>
            <w:r>
              <w:rPr>
                <w:b/>
              </w:rPr>
              <w:t>(Deficit)</w:t>
            </w:r>
          </w:p>
        </w:tc>
        <w:tc>
          <w:tcPr>
            <w:tcW w:w="163" w:type="dxa"/>
            <w:vMerge w:val="restart"/>
            <w:tcBorders/>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1" w:type="dxa"/>
            <w:vMerge w:val="continue"/>
            <w:tcBorders/>
            <w:vAlign w:val="bottom"/>
          </w:tcPr>
          <w:p>
            <w:pPr>
              <w:pStyle w:val="Normal"/>
              <w:bidi w:val="0"/>
              <w:jc w:val="left"/>
              <w:rPr/>
            </w:pPr>
            <w:r>
              <w:rPr/>
            </w:r>
          </w:p>
        </w:tc>
        <w:tc>
          <w:tcPr>
            <w:tcW w:w="1249"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61" w:type="dxa"/>
            <w:vMerge w:val="continue"/>
            <w:tcBorders>
              <w:bottom w:val="single" w:sz="8" w:space="0" w:color="000000"/>
            </w:tcBorders>
            <w:tcMar>
              <w:bottom w:w="28" w:type="dxa"/>
            </w:tcMar>
            <w:vAlign w:val="bottom"/>
          </w:tcPr>
          <w:p>
            <w:pPr>
              <w:pStyle w:val="Normal"/>
              <w:bidi w:val="0"/>
              <w:jc w:val="left"/>
              <w:rPr/>
            </w:pPr>
            <w:r>
              <w:rPr/>
            </w:r>
          </w:p>
        </w:tc>
        <w:tc>
          <w:tcPr>
            <w:tcW w:w="143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61" w:type="dxa"/>
            <w:vMerge w:val="continue"/>
            <w:tcBorders/>
            <w:vAlign w:val="bottom"/>
          </w:tcPr>
          <w:p>
            <w:pPr>
              <w:pStyle w:val="Normal"/>
              <w:bidi w:val="0"/>
              <w:jc w:val="left"/>
              <w:rPr/>
            </w:pPr>
            <w:r>
              <w:rPr/>
            </w:r>
          </w:p>
        </w:tc>
        <w:tc>
          <w:tcPr>
            <w:tcW w:w="1498"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25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January 1, 2025</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40"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76" w:type="dxa"/>
            <w:tcBorders/>
            <w:shd w:fill="CCEEFF" w:val="clear"/>
            <w:vAlign w:val="bottom"/>
          </w:tcPr>
          <w:p>
            <w:pPr>
              <w:pStyle w:val="TableContents"/>
              <w:bidi w:val="0"/>
              <w:spacing w:before="0" w:after="283"/>
              <w:jc w:val="right"/>
              <w:rPr>
                <w:b/>
              </w:rPr>
            </w:pPr>
            <w:r>
              <w:rPr>
                <w:b/>
              </w:rPr>
              <w:t>(1,087</w:t>
            </w:r>
          </w:p>
        </w:tc>
        <w:tc>
          <w:tcPr>
            <w:tcW w:w="155" w:type="dxa"/>
            <w:tcBorders/>
            <w:shd w:fill="CCEEFF" w:val="clear"/>
            <w:vAlign w:val="bottom"/>
          </w:tcPr>
          <w:p>
            <w:pPr>
              <w:pStyle w:val="TableContents"/>
              <w:bidi w:val="0"/>
              <w:spacing w:before="0" w:after="283"/>
              <w:jc w:val="left"/>
              <w:rPr>
                <w:b/>
              </w:rPr>
            </w:pPr>
            <w:r>
              <w:rPr>
                <w:b/>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45" w:type="dxa"/>
            <w:tcBorders/>
            <w:shd w:fill="CCEEFF" w:val="clear"/>
            <w:vAlign w:val="bottom"/>
          </w:tcPr>
          <w:p>
            <w:pPr>
              <w:pStyle w:val="TableContents"/>
              <w:bidi w:val="0"/>
              <w:spacing w:before="0" w:after="283"/>
              <w:jc w:val="right"/>
              <w:rPr>
                <w:b/>
              </w:rPr>
            </w:pPr>
            <w:r>
              <w:rPr>
                <w:b/>
              </w:rPr>
              <w:t>23,913</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 Warrants, less issuance costs</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5,432,207</w:t>
            </w:r>
          </w:p>
        </w:tc>
        <w:tc>
          <w:tcPr>
            <w:tcW w:w="163"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Public Warrants, less issuance costs</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323,195</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redemption to redemption value</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(5,779,827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(6,621,940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(12,401,767</w:t>
            </w:r>
          </w:p>
        </w:tc>
        <w:tc>
          <w:tcPr>
            <w:tcW w:w="163"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998,635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998,635</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76" w:type="dxa"/>
            <w:tcBorders/>
            <w:vAlign w:val="bottom"/>
          </w:tcPr>
          <w:p>
            <w:pPr>
              <w:pStyle w:val="TableContents"/>
              <w:bidi w:val="0"/>
              <w:spacing w:before="0" w:after="283"/>
              <w:jc w:val="right"/>
              <w:rPr>
                <w:b/>
              </w:rPr>
            </w:pPr>
            <w:r>
              <w:rPr>
                <w:b/>
              </w:rPr>
              <w:t>(5,624,392</w:t>
            </w:r>
          </w:p>
        </w:tc>
        <w:tc>
          <w:tcPr>
            <w:tcW w:w="155" w:type="dxa"/>
            <w:tcBorders/>
            <w:vAlign w:val="bottom"/>
          </w:tcPr>
          <w:p>
            <w:pPr>
              <w:pStyle w:val="TableContents"/>
              <w:bidi w:val="0"/>
              <w:spacing w:before="0" w:after="283"/>
              <w:jc w:val="left"/>
              <w:rPr>
                <w:b/>
              </w:rPr>
            </w:pPr>
            <w:r>
              <w:rPr>
                <w:b/>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345" w:type="dxa"/>
            <w:tcBorders/>
            <w:vAlign w:val="bottom"/>
          </w:tcPr>
          <w:p>
            <w:pPr>
              <w:pStyle w:val="TableContents"/>
              <w:bidi w:val="0"/>
              <w:spacing w:before="0" w:after="283"/>
              <w:jc w:val="right"/>
              <w:rPr>
                <w:b/>
              </w:rPr>
            </w:pPr>
            <w:r>
              <w:rPr>
                <w:b/>
              </w:rPr>
              <w:t>(5,623,817</w:t>
            </w:r>
          </w:p>
        </w:tc>
        <w:tc>
          <w:tcPr>
            <w:tcW w:w="163" w:type="dxa"/>
            <w:tcBorders/>
            <w:vAlign w:val="bottom"/>
          </w:tcPr>
          <w:p>
            <w:pPr>
              <w:pStyle w:val="TableContents"/>
              <w:bidi w:val="0"/>
              <w:spacing w:before="0" w:after="283"/>
              <w:jc w:val="left"/>
              <w:rPr>
                <w:b/>
              </w:rPr>
            </w:pPr>
            <w:r>
              <w:rPr>
                <w:b/>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January 1, 2025 and April 1, 2025, the calculation included 750,000 Class B ordinary shares that were subject to forfeiture if the over-allotment option was not exercised in full or in part by the Underwriters (Note 6). On April 30, 2025, the Underwriters’ over-allotment option was exercised in full simultaneously with the closing of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fin36013_1014"/>
      <w:bookmarkEnd w:id="46"/>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26"/>
        <w:gridCol w:w="355"/>
        <w:gridCol w:w="175"/>
        <w:gridCol w:w="1355"/>
        <w:gridCol w:w="194"/>
        <w:gridCol w:w="323"/>
        <w:gridCol w:w="175"/>
        <w:gridCol w:w="1643"/>
        <w:gridCol w:w="159"/>
      </w:tblGrid>
      <w:tr>
        <w:trPr/>
        <w:tc>
          <w:tcPr>
            <w:tcW w:w="5826"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2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8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 </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81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1,992,552</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998,635</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used in operating activities: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Earnings on marketable securities held in Trust Account</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(2,972,424</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(1,164,886</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 paid via promissory note - related party</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112,848</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paid by Sponsor from proceeds withdrawn from Trust Account</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205,981</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32,813</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(120,171</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24,081</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(87,493</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51,029</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75,000</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used/provided in operating activities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b/>
              </w:rPr>
            </w:pPr>
            <w:r>
              <w:rPr>
                <w:b/>
              </w:rPr>
              <w:t>(1,010,471</w:t>
            </w:r>
          </w:p>
        </w:tc>
        <w:tc>
          <w:tcPr>
            <w:tcW w:w="194" w:type="dxa"/>
            <w:tcBorders/>
            <w:vAlign w:val="bottom"/>
          </w:tcPr>
          <w:p>
            <w:pPr>
              <w:pStyle w:val="TableContents"/>
              <w:bidi w:val="0"/>
              <w:spacing w:before="0" w:after="283"/>
              <w:jc w:val="left"/>
              <w:rPr>
                <w:b/>
              </w:rPr>
            </w:pPr>
            <w:r>
              <w:rPr>
                <w:b/>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b/>
              </w:rPr>
            </w:pPr>
            <w:r>
              <w:rPr>
                <w:b/>
              </w:rPr>
              <w:t>158,436</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Cash deposited into Trust Account</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(172,500,000</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(172,500,000</w:t>
            </w:r>
          </w:p>
        </w:tc>
        <w:tc>
          <w:tcPr>
            <w:tcW w:w="159" w:type="dxa"/>
            <w:tcBorders/>
            <w:shd w:fill="CCEEFF" w:val="clear"/>
            <w:vAlign w:val="bottom"/>
          </w:tcPr>
          <w:p>
            <w:pPr>
              <w:pStyle w:val="TableContents"/>
              <w:bidi w:val="0"/>
              <w:spacing w:before="0" w:after="283"/>
              <w:jc w:val="left"/>
              <w:rPr>
                <w:b/>
              </w:rPr>
            </w:pPr>
            <w:r>
              <w:rPr>
                <w:b/>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168,188,119</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Private Placement Warrants, less issuance costs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3,830,250</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Public Warrants, less issuance costs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323,195</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b/>
              </w:rPr>
            </w:pPr>
            <w:r>
              <w:rPr>
                <w:b/>
              </w:rPr>
              <w:t>172,341,564</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b/>
              </w:rPr>
            </w:pPr>
            <w:r>
              <w:rPr>
                <w:b/>
              </w:rPr>
              <w:t>(1,010,471</w:t>
            </w:r>
          </w:p>
        </w:tc>
        <w:tc>
          <w:tcPr>
            <w:tcW w:w="194" w:type="dxa"/>
            <w:tcBorders/>
            <w:shd w:fill="CCEEFF" w:val="clear"/>
            <w:vAlign w:val="bottom"/>
          </w:tcPr>
          <w:p>
            <w:pPr>
              <w:pStyle w:val="TableContents"/>
              <w:bidi w:val="0"/>
              <w:spacing w:before="0" w:after="283"/>
              <w:jc w:val="left"/>
              <w:rPr>
                <w:b/>
              </w:rPr>
            </w:pPr>
            <w:r>
              <w:rPr>
                <w:b/>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1,077,837</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period</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1355" w:type="dxa"/>
            <w:tcBorders/>
            <w:shd w:fill="CCEEFF" w:val="clear"/>
            <w:vAlign w:val="bottom"/>
          </w:tcPr>
          <w:p>
            <w:pPr>
              <w:pStyle w:val="TableContents"/>
              <w:bidi w:val="0"/>
              <w:spacing w:before="0" w:after="283"/>
              <w:jc w:val="right"/>
              <w:rPr>
                <w:b/>
              </w:rPr>
            </w:pPr>
            <w:r>
              <w:rPr>
                <w:b/>
              </w:rPr>
              <w:t>67,366</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164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 charged to Class A ordinary share issuance costs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643" w:type="dxa"/>
            <w:tcBorders/>
            <w:shd w:fill="CCEEFF" w:val="clear"/>
            <w:vAlign w:val="bottom"/>
          </w:tcPr>
          <w:p>
            <w:pPr>
              <w:pStyle w:val="TableContents"/>
              <w:bidi w:val="0"/>
              <w:spacing w:before="0" w:after="283"/>
              <w:jc w:val="right"/>
              <w:rPr/>
            </w:pPr>
            <w:r>
              <w:rPr/>
              <w:t>6,900,000</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Initial Public Offering and sale of Private Placement Warrants held by Sponsor</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1,601,957</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promissory note - related party via funds held by Sponsor</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643" w:type="dxa"/>
            <w:tcBorders/>
            <w:shd w:fill="CCEEFF" w:val="clear"/>
            <w:vAlign w:val="bottom"/>
          </w:tcPr>
          <w:p>
            <w:pPr>
              <w:pStyle w:val="TableContents"/>
              <w:bidi w:val="0"/>
              <w:spacing w:before="0" w:after="283"/>
              <w:jc w:val="right"/>
              <w:rPr/>
            </w:pPr>
            <w:r>
              <w:rPr/>
              <w:t>112,848</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7" w:name="fin36013_1015"/>
      <w:bookmarkEnd w:id="47"/>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2026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BUSINESS OPERATIONS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Real Asset Acquisition Corp. (the “Company”) is a blank check company incorporated on December 9, 2024 as a Cayman Islands exempted company.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not commenced any operations. All activity for the period from December 9, 2024 (inception) through June 30, 2026 relates to the Company’s formation and initial public offering (“Initial Public Offering”), and identifying a target for the Business Combination (defined below). The Company will not generate any operating revenues until after the completion of a Business Combination, at the earliest. The Company will generate non-operating income in the form of interest income on marketable securities from the proceeds derived from the Initial Public Offering and sale of Private Placement Warrants (defined below), as well as cash equivalents held in the operating account.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(the “Units” and, with respect to the Class A ordinary shares included in the Units sold, the “Public Shares”), including 2,250,000 Units issued pursuant to the exercise of the Underwriters’ (as defined below) over-allotment option in full, generating gross proceeds of $172,500,000 (see Note 3). Each Unit consists of one Class A ordinary share and one-half of one redeemable warrant (the “Public Warrants”). Each whole Public Warrant entitles the holder thereof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warrants at a price of $1.00 per warrant (the “Private Placement Warrants”), generating gross proceeds of $5,450,000. Of the 5,450,000 Private Placement Warrants, (i) Cohen &amp; Company Capital Markets, a division of Cohen &amp; Company Securities, LLC (the “Representative”), purchased 1,466,250 Private Placement Warrants, (ii) Clear Street LLC (“Clear Street” and together with the Representative, the “Underwriters”) purchased 258,750 Private Placement Warrants and (iii) RAAQ Sponsor LLC, a Delaware limited liability company (the “Sponsor”), purchased 3,725,000 Private Placement Warrants.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April 30, 2025, an amount of $172,500,000 from the net proceeds of the sale of the Units in the Initial Public Offering and the sale of the Private Placement Warrants was placed in a trust account (the “Trust Account”), to be invested only in U.S. government treasury obligations with maturities of 185 days or less or in money market funds meeting certain conditions under Rule 2a-7 under the Investment Company Act of 1940, as amended (the “Investment Company Act”), which invest only in direct U.S. government treasury obligations, until the earlier of (i) the completion of a Business Combination and (ii) the distribution of the funds held in the Trust Account,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related to the issuances described above amounted to $10,931,479, consisting of $1,725,000 of cash underwriting fees, $1,725,000 of underwriting fees paid via the issuance of Private Placement Warrants, $6,900,000 of deferred underwriting fees and $581,479 of other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Initial Public Offering and the sale of the Private Placement Warrants, although substantially all of the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Trust Account (excluding the amount of deferred underwriting discounts held in the Trust Account and taxes paid or payable on the income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Upon the closing of the Initial Public Offering, management has agreed that an amount equal to at least $10.00 per Unit sold in the Initial Public Offering, including the proceeds from the sale of the Private Placement Warrants, will be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holders of the outstanding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held in the Trust Account, plus any interest income earned thereon (initially anticipated to be $10.00 per Public Share, plus any pro rata interest earned on the funds held in the Trust Account and not previously released to the Company to pay its tax obligations). There will be no redemption rights upon completion of a Business Combination with respect to the Company’s warrants. The Public Shares subject to redemption will be recorded at redemption value and classified as temporary equity upon the completion of the Initial Public Offering in accordance with the Financial Accounting Standards Board Accounting Standards Codification (“ASC”) Topic 480, </w:t>
      </w:r>
      <w:r>
        <w:rPr>
          <w:rFonts w:ascii="Times New Roman" w:hAnsi="Times New Roman"/>
          <w:i/>
          <w:sz w:val="20"/>
        </w:rPr>
        <w:t xml:space="preserve">Distinguishing Liabilities from Equity </w:t>
      </w:r>
      <w:r>
        <w:rPr>
          <w:rFonts w:ascii="Times New Roman" w:hAnsi="Times New Roman"/>
          <w:sz w:val="20"/>
        </w:rPr>
        <w:t xml:space="preserve">(“ASC 480”).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only if a majority of the shares voted are voted in favor of the Business Combination. If a shareholder vote is not required by law and the Company does not decide to hold a shareholder vote for business or other reasons, the Company will, pursuant to its amended and restated memorandum and articles of association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 is required by law,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irrespective of whether they vote for or against the proposed transaction or whether they do not vote or abstain from voting on the proposed transaction, or whether they were a Public Shareholder on the record date for the general meeting held to approve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the Company seeks shareholder approval of a Business Combination and the Company does not conduct redemptions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waive redemption rights with respect to any Founder Shares held and any Public Shares they may have acquired during or after the Initial Public Offering in connection with the completion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Combination, except that Public Shares held by the initial shareholders will be subject to mandatory redemption upon any diminution of the Trust Account in connection with an extension, and such shares will be entitled to redemption at a price equal to the per-share redemption value then held in the Trust Account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have until January 30, 2027, 21 months from the closing of the Initial Public Offering to complete a Business Combination (the “Completion Period”). However, if the Company anticipates that it may not be able to consummate a Business Combination within the Completion Period, the Company may, but is not obligated to, by resolution of the board if requested by the initial shareholders, extend the period of time to consummate a Business Combination by seeking shareholder approval to amend the Amended and Restated Memorandum and Articles of Association to extend the date by which the Company must consummate the initial Business Combination. If the Company seeks shareholder approval for an extension, holders of Public Shares will be offered an opportunity to redeem their shares, regardless of whether they abstain, vote for, or against, the Company’s initial Business Combination, at a per share-price, payable in cash, equal to the aggregate amount then on deposit in the Trust Account, including interest earned thereon (which interest shall be net of amounts not previously released to the Company pursuant to permitted withdrawals), divided by the number of then issued and outstanding Public Shares, subject to applicable law. For the avoidance of doubt, the time to complete a Business Combination shall not be extended beyond 21 months without a shareholder vote. The Underwriters have agreed to waive their rights to their deferred underwriting commission held in the Trust Account in the event the Company does not complete a Business Combination within the Completion Period and, in such event, such amounts will be included with the other funds held in the Trust Account that will be available to fund the redemption of the Public Shares.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Account assets, in each case less taxes payable and up to $100,000 of interest to pay liquidation expenses,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Initial Public Offering against certain liabilities, including liabilities under the Securities Act of 1933, as amended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 with IQM Finland Oy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2026, the Company and IQM Finland Oy, a limited liability company (Fi. osakeyhtiö) incorporated under the laws of Finland (“IQM”), IQM US LLC, a Delaware limited liability company and an indirect wholly owned subsidiary of IQM, and Eclipse QC S.à r.l., a Luxembourg private limited liability company (société à responsabilité limitée) and a direct wholly owned subsidiary of IQM, entered into a business combination agreement which will result in IQM becoming a public company and listing American Depositary Shares on one of the two leading U.S. stock exchanges. On June 25, 2026, RAAQ shareholders approved the transaction-related proposals, satisfying the required shareholder approval condition and advancing the business combination toward closing, subject to the remaining customary closing conditions and regulatory approvals.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a working capital surplus of $87,775. Management evaluated whether conditions or events, considered in the aggregate, raised substantial doubt about the Company’s ability to continue as a going concern within one year after the date these condensed financial statements are issued. Prior to the consummation of the Business Combination, the Company’s mandatory liquidation date and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liquidity raised substantial doubt about its ability to continue as a going concern. However, on July 1, 2026, the Company successfully consummated its Business Combination, which eliminated the requirement to liquidate and provided access to the combined company’s capital resources. Accordingly, management concluded that, as of the date the financial statements were issued, substantial doubt about the Company’s ability to continue as a going concern had been alleviated.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balance sheet as of December 31, 2025 was derived from the Company’s audited financial statements and the accompanying unaudited condensed financial statements have been prepared in accordance with accounting principles generally accepted in the United States of America (“GAAP”) applicable to interim financial information and in accordance with the instructions to Form 10-Q and Article 8 of Regulation S-X of the SEC. Certain information and footnote disclosures normally included in financial statements prepared in accordance with GAAP have been condensed or omitted, pursuant to the rules and regulations of the SEC for interim financial reporting. Accordingly, the unaudited condensed financial statements do not include all the information and footnotes necessary for a complete presentation of financial position, results of operations, or cash flows. In the opinion of management, the accompanying unaudited condensed financial statements include all adjustments, consisting only of normal recurring adjustments which are necessary for a fair presentation of the Company’s financial position, results of operations and cash flows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condensed financial statements should be read in conjunction with the Company’s audited financial statements and notes thereto for the period ended December 31, 2025, included in the Company’s Annual Report on Form 10-K filed by the Company with the SEC on March 3, 2026.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its periodic reports and proxy statements, and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the Company’s management to make estimates and assumptions that affect the reported amounts of assets and liabilities at the date of the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and the reported amounts of expenses and disclosure of contingent assets and liabilities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differ from those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other than those held in the Trust Account, with an original maturity of three months or less when purchased to be cash equivalents. The Company had cash and cash equivalents of $67,366 and $1,077,837 as of June 30, 2026 and December 31,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marketable securities held in the Trust Account are comprised of U.S. government treasury bills maturing within three months amounting to $180,097,107 and $177,124,457,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Class A ordinary shares that were sold as part of the Units in the Initial Public Offering contain a redemption feature which allows for the redemption of such Public Shares in connection with the Company’s liquidation, if there is a shareholder vote or tender offer in connection with the Business Combination and in connection with certain amendments to the Company’s Amended and Restated Memorandum and Articles of Association. In accordance with ASC 480, conditionally redeemable Class A ordinary shares (including Class A ordinary shares that have redemption rights that are either within the control of the holder or subject to redemption upon the occurrence of uncertain events not solely within the Company’s control) are classified as temporary equity. Ordinary liquidation events, which involve the redemption and liquidation of all of the entity’s equity instruments, are excluded from the provisions of ASC 480. Although the Company did not specify a maximum redemption threshold, its charter provides that currently the Company will only redeem its Public Shares. However, the threshold in its Amended and Restated Memorandum and Articles of Association would not change the nature of the underlying shares as redeemable and thus the Public Shares are required to be presented outside of permanent equity. The Company recognizes changes in redemption value immediately as they occur and adjusts the carrying value of redeemable ordinary shares to equal the redemption value ($10.44 and $10.27 per share as of June 30, 2026 and December 31, 2025, respectively) at the end of each reporting period. Such changes are reflected in additional paid-in capital, or in the absence of additional paid-in capital, in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The Class A ordinary shares reflected in the condensed balance sheets are reconciled in the following table: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472"/>
        <w:gridCol w:w="420"/>
        <w:gridCol w:w="147"/>
        <w:gridCol w:w="1375"/>
        <w:gridCol w:w="158"/>
      </w:tblGrid>
      <w:tr>
        <w:trPr/>
        <w:tc>
          <w:tcPr>
            <w:tcW w:w="6472"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172,500,000</w:t>
            </w:r>
          </w:p>
        </w:tc>
        <w:tc>
          <w:tcPr>
            <w:tcW w:w="158" w:type="dxa"/>
            <w:tcBorders/>
            <w:shd w:fill="CCEEFF" w:val="clear"/>
            <w:vAlign w:val="bottom"/>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(345,000</w:t>
            </w:r>
          </w:p>
        </w:tc>
        <w:tc>
          <w:tcPr>
            <w:tcW w:w="158" w:type="dxa"/>
            <w:tcBorders/>
            <w:shd w:fill="CCEEFF" w:val="clear"/>
            <w:vAlign w:val="bottom"/>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allocated to Class A ordinary shares</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(10,891,881</w:t>
            </w:r>
          </w:p>
        </w:tc>
        <w:tc>
          <w:tcPr>
            <w:tcW w:w="158" w:type="dxa"/>
            <w:tcBorders/>
            <w:vAlign w:val="bottom"/>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15,861,338</w:t>
            </w:r>
          </w:p>
        </w:tc>
        <w:tc>
          <w:tcPr>
            <w:tcW w:w="158" w:type="dxa"/>
            <w:tcBorders/>
            <w:vAlign w:val="bottom"/>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at December 31, 2025</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177,124,457</w:t>
            </w:r>
          </w:p>
        </w:tc>
        <w:tc>
          <w:tcPr>
            <w:tcW w:w="158" w:type="dxa"/>
            <w:tcBorders/>
            <w:shd w:fill="CCEEFF" w:val="clear"/>
            <w:vAlign w:val="bottom"/>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2,972,650</w:t>
            </w:r>
          </w:p>
        </w:tc>
        <w:tc>
          <w:tcPr>
            <w:tcW w:w="158" w:type="dxa"/>
            <w:tcBorders/>
            <w:shd w:fill="CCEEFF" w:val="clear"/>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at June 30, 2026</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375" w:type="dxa"/>
            <w:tcBorders/>
            <w:vAlign w:val="bottom"/>
          </w:tcPr>
          <w:p>
            <w:pPr>
              <w:pStyle w:val="TableContents"/>
              <w:bidi w:val="0"/>
              <w:spacing w:before="0" w:after="283"/>
              <w:jc w:val="right"/>
              <w:rPr>
                <w:b/>
              </w:rPr>
            </w:pPr>
            <w:r>
              <w:rPr>
                <w:b/>
              </w:rPr>
              <w:t>180,097,107</w:t>
            </w:r>
          </w:p>
        </w:tc>
        <w:tc>
          <w:tcPr>
            <w:tcW w:w="158" w:type="dxa"/>
            <w:tcBorders/>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 </w:t>
      </w:r>
      <w:r>
        <w:rPr>
          <w:rFonts w:ascii="Times New Roman" w:hAnsi="Times New Roman"/>
          <w:i/>
          <w:sz w:val="20"/>
        </w:rPr>
        <w:t>Expenses of Offering</w:t>
      </w:r>
      <w:r>
        <w:rPr>
          <w:rFonts w:ascii="Times New Roman" w:hAnsi="Times New Roman"/>
          <w:sz w:val="20"/>
        </w:rPr>
        <w:t xml:space="preserve">. Offering costs consist principally of professional and registration fees incurred through the condensed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$10,931,479, consisting of $1,725,000 of cash underwriting fees, $1,725,000 of underwriting fees paid via the issuance of Private Placement Warrants, $6,900,000 of deferred underwriting fees and $581,479 of other offering costs. As such, the Company recorded $10,891,881 of offering costs as a reduction of temporary equity and $39,598 of offering costs as a reduction of permanent equity.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follows the asset and liability method of accounting for income taxes under ASC Topic 740, </w:t>
      </w:r>
      <w:r>
        <w:rPr>
          <w:rFonts w:ascii="Times New Roman" w:hAnsi="Times New Roman"/>
          <w:i/>
          <w:sz w:val="20"/>
        </w:rPr>
        <w:t>Income Taxes</w:t>
      </w:r>
      <w:r>
        <w:rPr>
          <w:rFonts w:ascii="Times New Roman" w:hAnsi="Times New Roman"/>
          <w:sz w:val="20"/>
        </w:rPr>
        <w:t xml:space="preserve">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June 30, 2026 or December 31, 2025.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of $250,000. The Company has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Net income per ordinary share is computed by dividing net income by the weighted average number of ordinary shares outstanding during the period. At June 30, 2026 the calculation of diluted net income per Class A Ordinary Share does not consider the effect of the Public Warrants issued in connection with the Initial Public Offering and the Private Placement Warrants to purchase an aggregate of 14,075,000 Class A Ordinary Shares, because their exercise is contingent upon future events. As a result, diluted income per Class A ordinary share is the same as basic income per Class A ordinary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three and six months ended June 30, 2026, there were no potentially dilutive Class B ordinary shares. As a result, diluted income per Class B ordinary share is the same as basic income per Class B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six months ended June 30, 2025, the Class B ordinary shares included 750,000 shares that were subject to forfeiture if the over-allotment option was not exercised in full or in part by the Underwriters (see Note 6). On April 30, 2025, the Underwriters’ over-allotment option was exercised in full simultaneously with the Initial Public Offering, and the 750,000 Class B ordinary shares were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two classes of ordinary shares, which are referred to as redeemable Class A ordinary shares and Class B ordinary shares. Accretion associated with the redeemable shares of Class A ordinary shares is excluded from income per ordinary share as the redemption value approximates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reflects the calculation of basic and diluted net income per share: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58"/>
        <w:gridCol w:w="328"/>
        <w:gridCol w:w="140"/>
        <w:gridCol w:w="1120"/>
        <w:gridCol w:w="60"/>
        <w:gridCol w:w="328"/>
        <w:gridCol w:w="140"/>
        <w:gridCol w:w="986"/>
        <w:gridCol w:w="60"/>
        <w:gridCol w:w="328"/>
        <w:gridCol w:w="140"/>
        <w:gridCol w:w="1120"/>
        <w:gridCol w:w="60"/>
        <w:gridCol w:w="328"/>
        <w:gridCol w:w="140"/>
        <w:gridCol w:w="986"/>
        <w:gridCol w:w="66"/>
      </w:tblGrid>
      <w:tr>
        <w:trPr/>
        <w:tc>
          <w:tcPr>
            <w:tcW w:w="305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5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7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2026</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7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6" w:type="dxa"/>
            <w:tcBorders/>
            <w:vAlign w:val="bottom"/>
          </w:tcPr>
          <w:p>
            <w:pPr>
              <w:pStyle w:val="TableContents"/>
              <w:bidi w:val="0"/>
              <w:spacing w:before="0" w:after="283"/>
              <w:jc w:val="left"/>
              <w:rPr/>
            </w:pPr>
            <w:r>
              <w:rPr/>
              <w:t> </w:t>
            </w:r>
          </w:p>
        </w:tc>
      </w:tr>
      <w:tr>
        <w:trPr/>
        <w:tc>
          <w:tcPr>
            <w:tcW w:w="305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6" w:type="dxa"/>
            <w:tcBorders/>
            <w:vAlign w:val="bottom"/>
          </w:tcPr>
          <w:p>
            <w:pPr>
              <w:pStyle w:val="TableContents"/>
              <w:bidi w:val="0"/>
              <w:spacing w:before="0" w:after="283"/>
              <w:jc w:val="left"/>
              <w:rPr/>
            </w:pPr>
            <w:r>
              <w:rPr/>
              <w:t> </w:t>
            </w:r>
          </w:p>
        </w:tc>
      </w:tr>
      <w:tr>
        <w:trPr/>
        <w:tc>
          <w:tcPr>
            <w:tcW w:w="3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share: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58"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580,694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193,565</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1,494,414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498,138</w:t>
            </w:r>
          </w:p>
        </w:tc>
        <w:tc>
          <w:tcPr>
            <w:tcW w:w="66" w:type="dxa"/>
            <w:tcBorders/>
            <w:shd w:fill="CCEEFF" w:val="clear"/>
            <w:vAlign w:val="bottom"/>
          </w:tcPr>
          <w:p>
            <w:pPr>
              <w:pStyle w:val="TableContents"/>
              <w:bidi w:val="0"/>
              <w:spacing w:before="0" w:after="283"/>
              <w:jc w:val="left"/>
              <w:rPr/>
            </w:pPr>
            <w:r>
              <w:rPr/>
              <w:t> </w:t>
            </w:r>
          </w:p>
        </w:tc>
      </w:tr>
      <w:tr>
        <w:trPr/>
        <w:tc>
          <w:tcPr>
            <w:tcW w:w="305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5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17,250,000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5,750,000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17,250,000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5,750,000</w:t>
            </w:r>
          </w:p>
        </w:tc>
        <w:tc>
          <w:tcPr>
            <w:tcW w:w="66" w:type="dxa"/>
            <w:tcBorders/>
            <w:shd w:fill="CCEEFF" w:val="clear"/>
            <w:vAlign w:val="bottom"/>
          </w:tcPr>
          <w:p>
            <w:pPr>
              <w:pStyle w:val="TableContents"/>
              <w:bidi w:val="0"/>
              <w:spacing w:before="0" w:after="283"/>
              <w:jc w:val="left"/>
              <w:rPr/>
            </w:pPr>
            <w:r>
              <w:rPr/>
              <w:t> </w:t>
            </w:r>
          </w:p>
        </w:tc>
      </w:tr>
      <w:tr>
        <w:trPr/>
        <w:tc>
          <w:tcPr>
            <w:tcW w:w="305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5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ordinary share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0" w:type="dxa"/>
            <w:tcBorders/>
            <w:vAlign w:val="bottom"/>
          </w:tcPr>
          <w:p>
            <w:pPr>
              <w:pStyle w:val="TableContents"/>
              <w:bidi w:val="0"/>
              <w:spacing w:before="0" w:after="283"/>
              <w:jc w:val="right"/>
              <w:rPr>
                <w:b/>
              </w:rPr>
            </w:pPr>
            <w:r>
              <w:rPr>
                <w:b/>
              </w:rPr>
              <w:t>0.03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6" w:type="dxa"/>
            <w:tcBorders/>
            <w:vAlign w:val="bottom"/>
          </w:tcPr>
          <w:p>
            <w:pPr>
              <w:pStyle w:val="TableContents"/>
              <w:bidi w:val="0"/>
              <w:spacing w:before="0" w:after="283"/>
              <w:jc w:val="right"/>
              <w:rPr>
                <w:b/>
              </w:rPr>
            </w:pPr>
            <w:r>
              <w:rPr>
                <w:b/>
              </w:rPr>
              <w:t>0.03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0" w:type="dxa"/>
            <w:tcBorders/>
            <w:vAlign w:val="bottom"/>
          </w:tcPr>
          <w:p>
            <w:pPr>
              <w:pStyle w:val="TableContents"/>
              <w:bidi w:val="0"/>
              <w:spacing w:before="0" w:after="283"/>
              <w:jc w:val="right"/>
              <w:rPr>
                <w:b/>
              </w:rPr>
            </w:pPr>
            <w:r>
              <w:rPr>
                <w:b/>
              </w:rPr>
              <w:t>0.09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6" w:type="dxa"/>
            <w:tcBorders/>
            <w:vAlign w:val="bottom"/>
          </w:tcPr>
          <w:p>
            <w:pPr>
              <w:pStyle w:val="TableContents"/>
              <w:bidi w:val="0"/>
              <w:spacing w:before="0" w:after="283"/>
              <w:jc w:val="right"/>
              <w:rPr>
                <w:b/>
              </w:rPr>
            </w:pPr>
            <w:r>
              <w:rPr>
                <w:b/>
              </w:rPr>
              <w:t>0.09</w:t>
            </w:r>
          </w:p>
        </w:tc>
        <w:tc>
          <w:tcPr>
            <w:tcW w:w="66" w:type="dxa"/>
            <w:tcBorders/>
            <w:vAlign w:val="bottom"/>
          </w:tcPr>
          <w:p>
            <w:pPr>
              <w:pStyle w:val="TableContents"/>
              <w:bidi w:val="0"/>
              <w:spacing w:before="0" w:after="283"/>
              <w:jc w:val="left"/>
              <w:rPr/>
            </w:pPr>
            <w:r>
              <w:rPr/>
              <w:t> </w:t>
            </w:r>
          </w:p>
        </w:tc>
      </w:tr>
      <w:tr>
        <w:trPr/>
        <w:tc>
          <w:tcPr>
            <w:tcW w:w="305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81"/>
        <w:gridCol w:w="336"/>
        <w:gridCol w:w="140"/>
        <w:gridCol w:w="1115"/>
        <w:gridCol w:w="60"/>
        <w:gridCol w:w="336"/>
        <w:gridCol w:w="140"/>
        <w:gridCol w:w="981"/>
        <w:gridCol w:w="60"/>
        <w:gridCol w:w="336"/>
        <w:gridCol w:w="140"/>
        <w:gridCol w:w="981"/>
        <w:gridCol w:w="60"/>
        <w:gridCol w:w="336"/>
        <w:gridCol w:w="140"/>
        <w:gridCol w:w="980"/>
        <w:gridCol w:w="66"/>
      </w:tblGrid>
      <w:tr>
        <w:trPr/>
        <w:tc>
          <w:tcPr>
            <w:tcW w:w="3181"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2025</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6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66" w:type="dxa"/>
            <w:tcBorders/>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6" w:type="dxa"/>
            <w:tcBorders/>
            <w:vAlign w:val="bottom"/>
          </w:tcPr>
          <w:p>
            <w:pPr>
              <w:pStyle w:val="TableContents"/>
              <w:bidi w:val="0"/>
              <w:spacing w:before="0" w:after="283"/>
              <w:jc w:val="left"/>
              <w:rPr/>
            </w:pPr>
            <w:r>
              <w:rPr/>
              <w:t> </w:t>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income per ordinary share: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81"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714,744</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336,740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525,933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472,702</w:t>
            </w:r>
          </w:p>
        </w:tc>
        <w:tc>
          <w:tcPr>
            <w:tcW w:w="66" w:type="dxa"/>
            <w:tcBorders/>
            <w:shd w:fill="CCEEFF" w:val="clear"/>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81"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11,691,667</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5,508,333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5,845,833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5,254,167</w:t>
            </w:r>
          </w:p>
        </w:tc>
        <w:tc>
          <w:tcPr>
            <w:tcW w:w="66" w:type="dxa"/>
            <w:tcBorders/>
            <w:shd w:fill="CCEEFF" w:val="clear"/>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per ordinary share</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0.09</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0.09</w:t>
            </w:r>
          </w:p>
        </w:tc>
        <w:tc>
          <w:tcPr>
            <w:tcW w:w="66" w:type="dxa"/>
            <w:tcBorders/>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81"/>
        <w:gridCol w:w="336"/>
        <w:gridCol w:w="140"/>
        <w:gridCol w:w="1115"/>
        <w:gridCol w:w="60"/>
        <w:gridCol w:w="336"/>
        <w:gridCol w:w="140"/>
        <w:gridCol w:w="981"/>
        <w:gridCol w:w="60"/>
        <w:gridCol w:w="336"/>
        <w:gridCol w:w="140"/>
        <w:gridCol w:w="981"/>
        <w:gridCol w:w="60"/>
        <w:gridCol w:w="336"/>
        <w:gridCol w:w="140"/>
        <w:gridCol w:w="980"/>
        <w:gridCol w:w="66"/>
      </w:tblGrid>
      <w:tr>
        <w:trPr/>
        <w:tc>
          <w:tcPr>
            <w:tcW w:w="3181"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2025</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6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66" w:type="dxa"/>
            <w:tcBorders/>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6" w:type="dxa"/>
            <w:tcBorders/>
            <w:vAlign w:val="bottom"/>
          </w:tcPr>
          <w:p>
            <w:pPr>
              <w:pStyle w:val="TableContents"/>
              <w:bidi w:val="0"/>
              <w:spacing w:before="0" w:after="283"/>
              <w:jc w:val="left"/>
              <w:rPr/>
            </w:pPr>
            <w:r>
              <w:rPr/>
              <w:t> </w:t>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per ordinary share: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81"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714,744</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336,740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520,269</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478,366</w:t>
            </w:r>
          </w:p>
        </w:tc>
        <w:tc>
          <w:tcPr>
            <w:tcW w:w="66" w:type="dxa"/>
            <w:tcBorders/>
            <w:shd w:fill="CCEEFF" w:val="clear"/>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81"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11,691,667</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5,750,000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5,845,833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5,375,000</w:t>
            </w:r>
          </w:p>
        </w:tc>
        <w:tc>
          <w:tcPr>
            <w:tcW w:w="66" w:type="dxa"/>
            <w:tcBorders/>
            <w:shd w:fill="CCEEFF" w:val="clear"/>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per ordinary share</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0.09</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0.09</w:t>
            </w:r>
          </w:p>
        </w:tc>
        <w:tc>
          <w:tcPr>
            <w:tcW w:w="66" w:type="dxa"/>
            <w:tcBorders/>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basic and diluted net income per ordinary share for the three and six months ended June 30, 2025 included 750,000 Class B ordinary shares that were subject to forfeiture if the over-allotment option was not exercised in full or in part by the Underwriters (Note 6). On April 30, 2025, the Underwriters’ over-allotment option was exercised in full simultaneously with the closing of the Initial Public Offering, and the 750,000 Class B ordinary shares were no longer subject to forfeiture.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ASC Topic 820, </w:t>
      </w:r>
      <w:r>
        <w:rPr>
          <w:rFonts w:ascii="Times New Roman" w:hAnsi="Times New Roman"/>
          <w:i/>
          <w:sz w:val="20"/>
        </w:rPr>
        <w:t>Fair Value Measurement</w:t>
      </w:r>
      <w:r>
        <w:rPr>
          <w:rFonts w:ascii="Times New Roman" w:hAnsi="Times New Roman"/>
          <w:sz w:val="20"/>
        </w:rPr>
        <w:t xml:space="preserve">, approximates the carrying amounts represented in the accompanying condensed balance sheets, primarily due to their short-term nature.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480, </w:t>
      </w:r>
      <w:r>
        <w:rPr>
          <w:rFonts w:ascii="Times New Roman" w:hAnsi="Times New Roman"/>
          <w:i/>
          <w:sz w:val="20"/>
        </w:rPr>
        <w:t>Distinguishing Liabilities from Equity</w:t>
      </w:r>
      <w:r>
        <w:rPr>
          <w:rFonts w:ascii="Times New Roman" w:hAnsi="Times New Roman"/>
          <w:sz w:val="20"/>
        </w:rPr>
        <w:t xml:space="preserve">, and ASC Topic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evaluation includes, but is not limited to, assessing whether the warrants are indexed to the Company’s own ordinary shares. The Company also evaluates whether there are any provisions that could require net cash settlement, settlement in a variable number of shares, or settlement outside the control of the Company, including upon the occurrence of contingent events such as a change in control or tender offer, among other conditions for equity classification. This assessment, which requires the use of professional judgment, is conducted at the time of warrant issuance and as of each subsequent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condensed balance sheet date thereafter. Changes in the estimated fair value of the warrants are recognized as a non-cash gain or loss in the condensed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and Private Placement Warrants are not precluded from equity classification and are accounted for as equity on the date of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share-based compensation in accordance with ASC Topic 718, </w:t>
      </w:r>
      <w:r>
        <w:rPr>
          <w:rFonts w:ascii="Times New Roman" w:hAnsi="Times New Roman"/>
          <w:i/>
          <w:sz w:val="20"/>
        </w:rPr>
        <w:t>Compensation-Share Compensation</w:t>
      </w:r>
      <w:r>
        <w:rPr>
          <w:rFonts w:ascii="Times New Roman" w:hAnsi="Times New Roman"/>
          <w:sz w:val="20"/>
        </w:rPr>
        <w:t xml:space="preserve"> (“ASC 718”). ASC 718 defines a fair value-based method of accounting for an employee share option or similar equity instrument. The Company recognizes all forms of share-based payments at their fair value on the grant date, which are based on the estimated number of awards that are ultimately expected to vest. Share-based payments are valued using a Black-Scholes option pricing model. Grants of share-based payment awards issued to non-employees for services rendered have been recorded at the fair value of the share-based payment, which is the more readily determinable value. The grants are amortized on a straight-line basis over the requisite service periods, which is generally the vesting period. If an award is granted, but vesting does not occur, any previously recognized compensation cost is reversed in the period related to the termination of service. Share-based compensation expenses are included in costs and operating expenses depending on the nature of the services provided in the condensed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including 2,250,000 Units issued pursuant to the exercise of the Underwriters’ over-allotment option in full, generating gross proceeds of $172,500,000. Each Unit consisted of one Class A ordinary share and one-half of one Public Warrant. Each whole Public Warrant entitles the holder to purchase one Class A ordinary share at an exercise price of $11.50 per whole share, subject to adjustment (see Note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Private Placement Warrants at a price of $1.00 per warrant generating gross proceeds of $5,450,000. Of the 5,450,000 Private Placement Warrants, the Underwriters purchased an aggregate of 1,725,000 Private Placement Warrants and the Sponsor purchased 3,725,000 Private Placement Warrants. The proceeds from the sale of the Private Placement Warrants were added to the net proceeds from the Initial Public Offering held in the Trust Account. If the Company does not complete a Business Combination within the Completion Period, the proceeds from the sale of the Private Placement Warrants held in the Trust Account will be used to fund the redemption of the Public Shares (subject to the requirements of applicable law) and the Private Placement Warrants will expire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NOTE 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 280, </w:t>
      </w:r>
      <w:r>
        <w:rPr>
          <w:rFonts w:ascii="Times New Roman" w:hAnsi="Times New Roman"/>
          <w:i/>
          <w:sz w:val="20"/>
        </w:rPr>
        <w:t>Segment Reporting</w:t>
      </w:r>
      <w:r>
        <w:rPr>
          <w:rFonts w:ascii="Times New Roman" w:hAnsi="Times New Roman"/>
          <w:sz w:val="20"/>
        </w:rPr>
        <w:t xml:space="preserve">,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Management has determined that the Company only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is also reported on the condensed statements of operations as net income or loss. The measure of segment assets is reported on the condensed balance sheets as total assets. When evaluating the Company’s performance and making key decisions regarding resource allocation, the CODM reviews several key metrics,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6"/>
        <w:gridCol w:w="411"/>
        <w:gridCol w:w="143"/>
        <w:gridCol w:w="1383"/>
        <w:gridCol w:w="60"/>
        <w:gridCol w:w="411"/>
        <w:gridCol w:w="146"/>
        <w:gridCol w:w="1470"/>
        <w:gridCol w:w="65"/>
      </w:tblGrid>
      <w:tr>
        <w:trPr/>
        <w:tc>
          <w:tcPr>
            <w:tcW w:w="3666"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1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383" w:type="dxa"/>
            <w:tcBorders/>
            <w:shd w:fill="CCEEFF" w:val="clear"/>
            <w:vAlign w:val="bottom"/>
          </w:tcPr>
          <w:p>
            <w:pPr>
              <w:pStyle w:val="TableContents"/>
              <w:bidi w:val="0"/>
              <w:spacing w:before="0" w:after="283"/>
              <w:jc w:val="right"/>
              <w:rPr/>
            </w:pPr>
            <w:r>
              <w:rPr/>
              <w:t>180,239,019</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470" w:type="dxa"/>
            <w:tcBorders/>
            <w:shd w:fill="CCEEFF" w:val="clear"/>
            <w:vAlign w:val="bottom"/>
          </w:tcPr>
          <w:p>
            <w:pPr>
              <w:pStyle w:val="TableContents"/>
              <w:bidi w:val="0"/>
              <w:spacing w:before="0" w:after="283"/>
              <w:jc w:val="right"/>
              <w:rPr/>
            </w:pPr>
            <w:r>
              <w:rPr/>
              <w:t>178,333,734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43"/>
        <w:gridCol w:w="299"/>
        <w:gridCol w:w="140"/>
        <w:gridCol w:w="985"/>
        <w:gridCol w:w="60"/>
        <w:gridCol w:w="299"/>
        <w:gridCol w:w="140"/>
        <w:gridCol w:w="985"/>
        <w:gridCol w:w="60"/>
        <w:gridCol w:w="299"/>
        <w:gridCol w:w="140"/>
        <w:gridCol w:w="985"/>
        <w:gridCol w:w="60"/>
        <w:gridCol w:w="299"/>
        <w:gridCol w:w="140"/>
        <w:gridCol w:w="985"/>
        <w:gridCol w:w="69"/>
      </w:tblGrid>
      <w:tr>
        <w:trPr/>
        <w:tc>
          <w:tcPr>
            <w:tcW w:w="3443"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443"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6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June 30,</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6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w:t>
              <w:br/>
              <w:t>Months Ended</w:t>
              <w:br/>
              <w:t>June 30,</w:t>
            </w:r>
          </w:p>
        </w:tc>
        <w:tc>
          <w:tcPr>
            <w:tcW w:w="69" w:type="dxa"/>
            <w:tcBorders/>
            <w:vAlign w:val="bottom"/>
          </w:tcPr>
          <w:p>
            <w:pPr>
              <w:pStyle w:val="TableContents"/>
              <w:bidi w:val="0"/>
              <w:spacing w:before="0" w:after="283"/>
              <w:jc w:val="left"/>
              <w:rPr/>
            </w:pPr>
            <w:r>
              <w:rPr/>
              <w:t> </w:t>
            </w:r>
          </w:p>
        </w:tc>
      </w:tr>
      <w:tr>
        <w:trPr/>
        <w:tc>
          <w:tcPr>
            <w:tcW w:w="3443"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9" w:type="dxa"/>
            <w:tcBorders/>
            <w:vAlign w:val="bottom"/>
          </w:tcPr>
          <w:p>
            <w:pPr>
              <w:pStyle w:val="TableContents"/>
              <w:bidi w:val="0"/>
              <w:spacing w:before="0" w:after="283"/>
              <w:jc w:val="left"/>
              <w:rPr/>
            </w:pPr>
            <w:r>
              <w:rPr/>
              <w:t> </w:t>
            </w:r>
          </w:p>
        </w:tc>
      </w:tr>
      <w:tr>
        <w:trPr/>
        <w:tc>
          <w:tcPr>
            <w:tcW w:w="3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746,577</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96,036</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994,762</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148,885</w:t>
            </w:r>
          </w:p>
        </w:tc>
        <w:tc>
          <w:tcPr>
            <w:tcW w:w="69" w:type="dxa"/>
            <w:tcBorders/>
            <w:shd w:fill="CCEEFF" w:val="clear"/>
            <w:vAlign w:val="bottom"/>
          </w:tcPr>
          <w:p>
            <w:pPr>
              <w:pStyle w:val="TableContents"/>
              <w:bidi w:val="0"/>
              <w:spacing w:before="0" w:after="283"/>
              <w:jc w:val="left"/>
              <w:rPr/>
            </w:pPr>
            <w:r>
              <w:rPr/>
              <w:t> </w:t>
            </w:r>
          </w:p>
        </w:tc>
      </w:tr>
      <w:tr>
        <w:trPr/>
        <w:tc>
          <w:tcPr>
            <w:tcW w:w="344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1,514,352</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1,147,520</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2,972,424</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1,147,520</w:t>
            </w:r>
          </w:p>
        </w:tc>
        <w:tc>
          <w:tcPr>
            <w:tcW w:w="69" w:type="dxa"/>
            <w:tcBorders/>
            <w:vAlign w:val="bottom"/>
          </w:tcPr>
          <w:p>
            <w:pPr>
              <w:pStyle w:val="TableContents"/>
              <w:bidi w:val="0"/>
              <w:spacing w:before="0" w:after="283"/>
              <w:jc w:val="left"/>
              <w:rPr/>
            </w:pPr>
            <w:r>
              <w:rPr/>
              <w:t> </w:t>
            </w:r>
          </w:p>
        </w:tc>
      </w:tr>
      <w:tr>
        <w:trPr/>
        <w:tc>
          <w:tcPr>
            <w:tcW w:w="3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774,258</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1,051,484</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1,992,552</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998,635</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are reviewed and monitored by the CODM to manage and forecast cash to ensure enough capital is available to complete a Business Combination or similar transaction within the Completion Period. The CODM also reviews general and administrative expenses to manage, maintain and enforce all contractual agreements and to ensure costs are aligned with all agreements and budget. General and administrative expenses, as reported on the condensed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The CODM will review net earnings on marketable securities held in the Trust Account to measure and monitor shareholder value while maintaining compliance with the trust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other segment items included in net income or loss are reported on the condensed statements of operations and described within their respective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2024, the Sponsor was issued 5,750,000 Class B ordinary shares (the “Founder Shares”) for an aggregate price of $25,000 paid to cover certain expenses on behalf of the Company. The Founder Shares included an aggregate of up to 750,000 Class B ordinary shares subject to forfeiture by the Sponsor to the extent that the Underwriters’ over-allotment option was not exercised in full or in part, so that the Sponsor would own, on an as-converted basis, 25% of the Company’s issued and outstanding shares after the Initial Public Offering (assuming the Sponsor does not purchase any Public Shares in the Initial Public Offering). On April 30, 2025, the Underwriters exercised their over-allotment option in full as part of the closing of the Initial Public Offering. As such, the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the Sponsor transferred 25,000 Founder Shares to each of the Company’s independent directors (for an aggregate of 75,000 Class B ordinary shares) and 10,000 Founder Shares to each of the Company’s advisors (for an aggregate of 40,000 Class B ordinary shares) at the same price that the Sponsor had purchased such shares or approximately $0.004 per share. The Class B ordinary shares will automatically convert into Class A ordinary shares immediately prior to, concurrently with or immediately following the consummation of the initial Business Combination, or at any time prior thereto at the option of the holder thereof,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the Founder Shares to the Company’s advisors and directors is in the scope of ASC 718. Under ASC 718, stock-based compensation associated with equity-classified awards is measured at fair value upon the grant date. The Company determined the conversion of such Class B ordinary shares into Class A ordinary shares upon consummation of the initial Business Combination represents a performance obligation. Compensation expense related to the Founder Shares is recognized only when the performance condition is probable of occurrence under the applicable accounting literature. The condition of the consummation of an initial Business Combination is considered not to be probable and, as such, the Company has not recognized the expense related to the issuance of these shares.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are designated as Class B ordinary shares and, except as described below, are identical to the Class A ordinary shares included in the Units sold in the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the Company’s Sponsor, officers and directors have entered into a letter agreement with the Company, pursuant to which they have agreed to (A) waive their redemption rights with respect to their Founder Shares and Public Shares in connection with the completion of the Company’s initial Business Combination, (B) waive their redemption rights with respect to their Founder Shares and Public Shares in connection with a shareholder vote to approve an amendment to the Company’s Amended and Restated Memorandum and Articles of Association (1) to modify the substance or timing of the Company’s obligation to allow redemption in connection with the Company’s initial Business Combination or to redeem 100% of the Company’s Public Shares if the Company has not consummated an initial Business Combination within the Completion Period, (2) with respect to any other material provisions relating to shareholders’ rights or pre-initial Business Combination activity, (3) waive their rights to liquidating distributions from the Trust Account with respect to their Founder Shares if the Company fails to complete the Company’s initial Business Combination within the Completion Period, although they will be entitled to liquidating distributions from the Trust Account with respect to any Public Shares they hold if the Company fails to complete the initial Business Combination within such time period and to liquidating distributions from assets outside the Trust Account and (4) vote any Founder Shares held by them and any Public Shares purchased during or after the Initial Public Offering (including in open market and privately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negotiated transactions) in favor of the initial Business Combination (including any proposals recommended by the Company’s board of directors in connection with such Business Combination) (except with respect to any Public Shares which may not be voted in favor of approving the Business Combination transaction in accordance with the requirements of Rule 14e-5 under the Exchange Act and any SEC interpretations or guidance relating thereto), (iv) the Founder Shares are automatically convertible into Class A ordinary shares immediately prior to, concurrently with or immediately following the consummation of the Company’s initial Business Combination or at any time prior thereto at the option of the holder on a one-for-one basis, subject to adjustment as described herein and in the Amended and Restated Memorandum and Articles of Association, and (v) prior to the closing of the Company’s initial Business Combination, only holders of Class B ordinary shares will be entitled to vote on the appointment and removal of directors or continuing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the initial Business Combination or at any time prior thereto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25%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issued to the Sponsor and the Underwriters), plus (ii) all Class A ordinary shares and equity-linked securities issued or deemed issued in connection with the Company’s initial Business Combination (excluding any shares or equity-linked securities issued, or to be issued, to any seller in the initial Business Combination and any private placement-equivalent warrants issued to the Company’s Sponsor or any of its affiliates or to the Company’s officers and directors upon conversion of working capital loans) minus (iii) any redemptions of Class A ordinary shares by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With certain limited exceptions, the Founder Shares are not transferable, assignable or saleable (except to the Company’s officers and directors and other persons or entities affiliated with the Company’s Sponsor, each of whom will be subject to the same transfer restrictions) until the earlier of (A) one year after the completion of the Company’s initial Business Combination or earlier if, subsequent to the Company’s initial Business Combination,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and (B)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Due to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to initially fund operating expenses related to the Initial Public Offering. These include legal fees, mailing, and shipping expenses. As of June 30, 2026 and December 31, 2025, the Company had a total of $38,345 outstanding that was due to related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commencing from April 30, 2025, the date of the Initial Public Offering, through the earlier of the Company’s consummation of a Business Combination and its liquidation, to make available to the Company certain general and administrative services, including office space and administrative services, as the Company may require from time to time. The Company has agreed to pay to the Sponsor up to $20,000 per month for these services during the Completion Period. For the three and six months ended June 30, 2026, the Company incurred $60,000 and $120,000, respectively, due to the Sponsor for these services, which is included in general and administrative expenses on the accompanying condensed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the initial Business Combination, the Sponsor or an affiliate of the Sponsor or certain of the Company’s officers and directors may, but are not obligated to, loan the Company funds as may be required on a non-interest bearing basis. If the Company completes the initial Business Combination, the Company will repay such loaned amounts. In the event that the initial Business Combination does not close, the Company may use a portion of the working capital held outside the Trust Account to repay such loaned amounts, but no proceeds from the Trust Account would be used for such repayment. Up to $1,500,000 of such loans may be convertible into warrants, at a price of $1.00 per warrant at the option of the lender, upon consummation of the initial Business Combination. The warrants would be identical to the Private Placement Warrants. Other than as set forth above, the terms of such loans by the Company’s officers and directors, if any, have not been determined and no written agreements exist with respect to such loans. There are no such outstanding working capital loans as of June 30, 2026 and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7. COMMITMENTS AND CONTINGENCIES </w:t>
      </w:r>
    </w:p>
    <w:p>
      <w:pPr>
        <w:pStyle w:val="TextBody"/>
        <w:bidi w:val="0"/>
        <w:spacing w:before="12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which were issued in a private placement prior to the closing of the Initial Public Offering, (ii) Private Placement Warrants and the Class A ordinary shares underlying such Private Placement Warrants and (iii) Private Placement Warrants that may be issued upon conversion of working capital loans will have registration rights to require the Company to register a sale of any of the Company’s securities held by them and any other securities of the Company acquired by them prior to the consummation of the Company’s initial Business Combination pursuant to a registration rights agreement signed on the effective date of the Initial Public Offering. Pursuant to the registration rights agreement and assuming $1,500,000 of working capital loans are converted into warrants, the Company will be obligated to register up to 12,700,000 Class A ordinary shares and 6,950,000 warrants. The number of Class A ordinary shares includes (i) 5,750,000 Class A ordinary shares to be issued upon conversion of the Founder Shares, (ii) 5,450,000 Class A ordinary shares underlying the Private Placement Warrants and (iii) 1,500,000 Class A ordinary shares underlying the warrants that may be issued upon conversion of working capital loans. The number of warrants includes up to 5,450,000 Private Placement Warrants and 1,500,000 warrants that may be issued upon the conversion of working capital loans.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Company’s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underwriting agreement, the Sponsor and the executive officers and directors have agreed that, for a period of 180 days from the date of the Initial Public Offering, they will not, without the prior written consent of the Representative, offer, sell, contract to sell, pledge, sell any option or contract to purchase, purchase any option or contract to sell, grant any option, right or warrant to purchase, lend or otherwise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dispose of, directly or indirectly, any units, warrants, ordinary shares or any other securities convertible into, or exercisable or exchangeable for, any units, ordinary shares, Founder Shares or warrants, subject to certain exceptions. The Representative in its discretion may release any of the securities subject to these lock-up agreements at any time without notice, other than in the case of the officers and directors, which shall be with notice. The Sponsor, officers and directors are also subject to separate transfer restrictions on their Founder Shares and Private Placement Warrants pursuant to the letter agreement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the Underwriters a 45-day option to purchase up to 2,250,000 additional Units to cover over-allotments at the Initial Public Offering price, less the underwriting commissions. On April 30, 2025, simultaneously with the closing of the Initial Public Offering, the Underwriters elected to fully exercise the over-allotment option to purchase the additional 2,250,000 Units at a price of $10.00 per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entitled to (1) an underwriting discount of $0.20 per Unit, or $3,450,000 in the aggregate, of which (i) $0.10 per Unit was paid to the Underwriters in cash at the closing of the Initial Public Offering and (ii) $0.10 per Unit was used by the Underwriters to purchase Private Placement Warrants, and (2) a deferred fee of $0.40 per Unit, or $6,900,000. The deferred fee will become payable to the Underwriters from the amounts held in the Trust Account solely in the event that the Company completes a Business Combination, subject to the terms of the underwriting agreement, and will be based on the amount of funds remaining in the Trust Account after shareholder redemptions of Public Shares in connection with the consummation of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8. SHAREHOLDERS’ DEFICIT </w:t>
      </w:r>
    </w:p>
    <w:p>
      <w:pPr>
        <w:pStyle w:val="TextBody"/>
        <w:bidi w:val="0"/>
        <w:spacing w:before="120" w:after="0"/>
        <w:jc w:val="left"/>
        <w:rPr>
          <w:rFonts w:ascii="Times New Roman" w:hAnsi="Times New Roman"/>
          <w:sz w:val="20"/>
        </w:rPr>
      </w:pPr>
      <w:r>
        <w:rPr>
          <w:rFonts w:ascii="Times New Roman" w:hAnsi="Times New Roman"/>
          <w:b/>
          <w:i/>
          <w:sz w:val="20"/>
        </w:rPr>
        <w:t xml:space="preserve">Preference shares </w:t>
      </w:r>
      <w:r>
        <w:rPr>
          <w:rFonts w:ascii="Times New Roman" w:hAnsi="Times New Roman"/>
          <w:sz w:val="20"/>
        </w:rPr>
        <w:t xml:space="preserve">— The Company is authorized to issue 5,000,000 preference shares with a par value of $0.0001 per share with such designations, voting and other rights and preferences as may be determined from time to time by the Company’s board of directors. As of June 30, 2026 and December 31, 2025, there were no preference shares issued or outstanding.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A ordinary shares — </w:t>
      </w:r>
      <w:r>
        <w:rPr>
          <w:rFonts w:ascii="Times New Roman" w:hAnsi="Times New Roman"/>
          <w:sz w:val="20"/>
        </w:rPr>
        <w:t xml:space="preserve">The Company is authorized to issue 500,000,000 Class A ordinary shares with a par value of $0.0001 per share. Holders of the Company’s Class A ordinary shares are entitled to one vote for each share. As of June 30, 2026 and December 31, 2025, there were 17,250,000 Class A ordinary shares issued and outstanding, including 17,250,000 Class A ordinary shares subject to possible redemption and classified as temporary equity.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B ordinary shares — </w:t>
      </w:r>
      <w:r>
        <w:rPr>
          <w:rFonts w:ascii="Times New Roman" w:hAnsi="Times New Roman"/>
          <w:sz w:val="20"/>
        </w:rPr>
        <w:t xml:space="preserve">The Company is authorized to issue 50,000,000 shares of Class B ordinary shares with a par value of $0.0001 per share. Holders of Class B ordinary shares are entitled to one vote for each share. As of June 30, 2026 and December 31, 2025,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Company’s shareholders except as required by law. Prior to the closing of the initial Business Combination, only holders of Class B ordinary shares (i) will have the right to appoint and remove directors prior to or in connection with the completion of the initial Business Combination and (ii) will be entitled to vote on continuing the Company in a jurisdiction outside the Cayman Islands (including any special resolution required to amend constitutional documents or to adopt new constitutional documents, in each case, as a result of approving a transfer by way of continuation in a jurisdiction outside the Cayman Islands). On any other matters submitted to a vote of shareholders prior to or in connection with the completion of the initial Business Combination, holders of the Class B ordinary shares and holders of the Class A ordinary shares will vote together as a single class,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a Business Combination, and may be converted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Business Combination, at the option of the holder, on a one-for-one basis (unless otherwise provided in the Business Combination agreement), subject to adjustment for share subdivisions, share dividends, reorganizations, recapitalizations and the like, and subject to further adjustment as provided herein. In the case that additional Class A ordinary shares or equity-linked securities are issued or deemed issued in connection with the Business Combination, the number of Class A ordinary shares issuable upon conversion of all Founder Shares will equal, in the aggregate, on an as-converted basis, approximately 25% of the total number of Class A ordinary shares outstanding after such conversion (not including the Class A ordinary shares underlying the Private Placement Warrants), including the total number of Class A ordinary shares issued, or deemed issued or issuable upon conversion or exercise of any equity-linked securities or rights issued or deemed issued, by the Company in connection with or in relation to the consummation of the Business Combination, excluding any Class A ordinary shares or equity-linked securities or rights exercisable for or convertible into Class A ordinary shares issued, or to be issued, to any seller in the Business Combination and any Private Placement Warrants issued to the Sponsor, officers or directors upon conversion of working capital loans,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b/>
          <w:i/>
          <w:sz w:val="20"/>
        </w:rPr>
        <w:t xml:space="preserve">Warrants — </w:t>
      </w:r>
      <w:r>
        <w:rPr>
          <w:rFonts w:ascii="Times New Roman" w:hAnsi="Times New Roman"/>
          <w:sz w:val="20"/>
        </w:rPr>
        <w:t xml:space="preserve">As of June 30, 2026 and December 31, 2025, there were 14,075,000 warrants issued including 8,625,000 Public Warrants, issued as part of the Units and 5,450,000 Private Placement Warrants. Each whole Public Warrant entitles the registered holder to purchase one Class A ordinary share at a price of $11.50 per share, subject to adjustment as discussed below, at any time commencing 30 days after the completion of the initial Business Combination. Pursuant to the warrant agreement, a warrant holder may exercise its Public Warrants only for a whole number of Class A ordinary shares. No fractional Public Warrants will be issued upon separation of the Units and only whole Public Warrants will trade. The Public Warrants will expire five years after the completion of the initial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as soon as practicable, but in no event later than 20 business days after the closing of the initial Business Combination, the Company will use commercially reasonable efforts to file with the SEC a post-effective amendment to an existing registration statement or a new registration statement covering the registration, under the Securities Act, of the Class A ordinary shares issuable upon exercise of the warrants and thereafter will use the Company’s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call the warrants for redemption for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shares issuable upon exercise or the exercise price of a warrant as described below) for any 20 trading days within a 30-trading day period commencing at least 30 days after completion of the Company’s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when the warrants become redeemable by the Company for cash, the Company may exercise the redemption right even if the Company is unable to register or qualify the underlying securities for sale under all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shares (with such issue price or effective issue price to be determined in good faith by the Company’s board of directors and, in the case of any such issuance to the initial shareholders or their affiliates, without taking into account any Founder Shares held by the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the volume weighted average trading price of the Class A ordinary shares during the 20 trading day period starting on the trading day after the day on which the Company consummates the initial Business Combination (such price, the “Market Value”) is below $9.20 per share, the exercise price of the warrants will be adjusted (to the nearest cent) to be equal to 115% of the higher of the Market Value and the Newly Issued Price, and the $18.00 per-share redemption trigger price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(including the Class A ordinary shares issuable upon exercise of the Private Placement Warrants) will not be transferable, assignable or salable until 30 days after the completion of the initial Business Combination. The Private Placement Warrants have terms and provisions that are identical to those of the Public Warrants sold as part of the Units in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the 14,075,000 warrants issued in connection with the Initial Public Offering (including 8,625,000 Public Warrants and 5,450,000 Private Placement Warrants) in accordance with the guidance contained in ASC 815-40. Such guidance provides that the warrants described above are not precluded from equity classification. Equity-classified contracts are initially measured at fair value (or allocated value). Subsequent changes in fair value are not recognized as long as the contracts continue to be classified in equity. </w:t>
      </w:r>
    </w:p>
    <w:p>
      <w:pPr>
        <w:pStyle w:val="TextBody"/>
        <w:bidi w:val="0"/>
        <w:spacing w:before="360" w:after="0"/>
        <w:jc w:val="left"/>
        <w:rPr>
          <w:rFonts w:ascii="Times New Roman" w:hAnsi="Times New Roman"/>
          <w:b/>
          <w:sz w:val="20"/>
        </w:rPr>
      </w:pPr>
      <w:r>
        <w:rPr>
          <w:rFonts w:ascii="Times New Roman" w:hAnsi="Times New Roman"/>
          <w:b/>
          <w:sz w:val="20"/>
        </w:rPr>
        <w:t xml:space="preserve">NOTE 9.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0"/>
        <w:jc w:val="left"/>
        <w:rPr>
          <w:rFonts w:ascii="Times New Roman" w:hAnsi="Times New Roman"/>
          <w:sz w:val="20"/>
        </w:rPr>
      </w:pPr>
      <w:r>
        <w:rPr>
          <w:rFonts w:ascii="Times New Roman" w:hAnsi="Times New Roman"/>
          <w:sz w:val="20"/>
        </w:rPr>
        <w:t xml:space="preserve">Level 3: Unobservable inputs based on assessment of the assumptions that market participants would use in pricing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about the Company’s assets that are measured at fair value as of June 30, 2026 and December 31, 2025 and indicates the fair value hierarchy of the valuation inputs the Company utilized to determine such fair value: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86"/>
        <w:gridCol w:w="321"/>
        <w:gridCol w:w="178"/>
        <w:gridCol w:w="403"/>
        <w:gridCol w:w="60"/>
        <w:gridCol w:w="321"/>
        <w:gridCol w:w="60"/>
        <w:gridCol w:w="1311"/>
        <w:gridCol w:w="60"/>
        <w:gridCol w:w="321"/>
        <w:gridCol w:w="91"/>
        <w:gridCol w:w="1994"/>
        <w:gridCol w:w="66"/>
      </w:tblGrid>
      <w:tr>
        <w:trPr/>
        <w:tc>
          <w:tcPr>
            <w:tcW w:w="338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8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6" w:type="dxa"/>
            <w:tcBorders/>
            <w:vAlign w:val="bottom"/>
          </w:tcPr>
          <w:p>
            <w:pPr>
              <w:pStyle w:val="TableContents"/>
              <w:bidi w:val="0"/>
              <w:spacing w:before="0" w:after="283"/>
              <w:jc w:val="left"/>
              <w:rPr/>
            </w:pPr>
            <w:r>
              <w:rPr/>
              <w:t> </w:t>
            </w:r>
          </w:p>
        </w:tc>
      </w:tr>
      <w:tr>
        <w:trPr/>
        <w:tc>
          <w:tcPr>
            <w:tcW w:w="3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3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180,097,107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994" w:type="dxa"/>
            <w:tcBorders/>
            <w:shd w:fill="CCEEFF" w:val="clear"/>
            <w:vAlign w:val="bottom"/>
          </w:tcPr>
          <w:p>
            <w:pPr>
              <w:pStyle w:val="TableContents"/>
              <w:bidi w:val="0"/>
              <w:spacing w:before="0" w:after="283"/>
              <w:jc w:val="right"/>
              <w:rPr/>
            </w:pPr>
            <w:r>
              <w:rPr/>
              <w:t>177,124,457</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liabilities that are measured at fair value on a recurring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condensed balance sheet date through the date the unaudited condensed financial statements were issued.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RAAQ consummated the business combination contemplated by the Business Combination Agreement dated February 22, 2026 with IQM. Pursuant to the Business Combination Agreement, RAAQ merged with and into IQM US LLC, with IQM US LLC surviving the merger as an indirect wholly owned subsidiary of IQM. Immediately prior to the consummation of the business combination, all issued and outstanding Class B ordinary shares of the Company, other than shares forfeited pursuant to the Sponsor Support Agreement, were automatically converted into Class A ordinary shares on a one-for-one basis. Upon consummation of the business combination, each issued and outstanding Class A ordinary share of the Company was automatically canceled and converted into the right to receive one American Depositary Share (“ADS”) of IQM, with each IQM ADS representing one ordinary share of IQM. In addition, each outstanding warrant of the Company was assumed by IQM and became exercisable for one IQM ADS at an exercise price of $11.50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36013_7"/>
      <w:bookmarkStart w:id="49" w:name="fin36013_201a"/>
      <w:bookmarkEnd w:id="48"/>
      <w:bookmarkEnd w:id="4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IQM Finland Oy.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statements of financial position of IQM Finland Oy (“the Company”) as of December 31, 2025 and 2024, the related consolidated statements of loss and comprehensive loss, changes in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IFRS Accounting Standards as issued by the International Accounting Standards Board.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AB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0" w:after="0"/>
        <w:jc w:val="left"/>
        <w:rPr>
          <w:rFonts w:ascii="Times New Roman" w:hAnsi="Times New Roman"/>
          <w:sz w:val="20"/>
        </w:rPr>
      </w:pPr>
      <w:r>
        <w:rPr>
          <w:rFonts w:ascii="Times New Roman" w:hAnsi="Times New Roman"/>
          <w:sz w:val="20"/>
        </w:rPr>
        <w:t xml:space="preserve">Stockholm, Sweden </w:t>
      </w:r>
    </w:p>
    <w:p>
      <w:pPr>
        <w:pStyle w:val="TextBody"/>
        <w:bidi w:val="0"/>
        <w:spacing w:before="0" w:after="0"/>
        <w:jc w:val="left"/>
        <w:rPr>
          <w:rFonts w:ascii="Times New Roman" w:hAnsi="Times New Roman"/>
          <w:sz w:val="20"/>
        </w:rPr>
      </w:pPr>
      <w:r>
        <w:rPr>
          <w:rFonts w:ascii="Times New Roman" w:hAnsi="Times New Roman"/>
          <w:sz w:val="20"/>
        </w:rPr>
        <w:t xml:space="preserve">April 3, 2026 </w:t>
      </w:r>
    </w:p>
    <w:p>
      <w:pPr>
        <w:pStyle w:val="TextBody"/>
        <w:bidi w:val="0"/>
        <w:spacing w:before="0" w:after="0"/>
        <w:jc w:val="left"/>
        <w:rPr>
          <w:rFonts w:ascii="Times New Roman" w:hAnsi="Times New Roman"/>
          <w:sz w:val="20"/>
        </w:rPr>
      </w:pPr>
      <w:r>
        <w:rPr>
          <w:rFonts w:ascii="Times New Roman" w:hAnsi="Times New Roman"/>
          <w:sz w:val="20"/>
        </w:rPr>
        <w:t xml:space="preserve">except for Notes 2.3.1, 2.3.2, 4.1 and 14, as to which the date is May 13, 2026 </w:t>
      </w:r>
    </w:p>
    <w:p>
      <w:pPr>
        <w:pStyle w:val="TextBody"/>
        <w:bidi w:val="0"/>
        <w:spacing w:before="0" w:after="0"/>
        <w:jc w:val="left"/>
        <w:rPr>
          <w:rFonts w:ascii="Times New Roman" w:hAnsi="Times New Roman"/>
          <w:sz w:val="20"/>
        </w:rPr>
      </w:pPr>
      <w:r>
        <w:rPr>
          <w:rFonts w:ascii="Times New Roman" w:hAnsi="Times New Roman"/>
          <w:sz w:val="20"/>
        </w:rPr>
        <w:t xml:space="preserve">except for Note 14, including the effects of the share split disclosed therein, as to which the date is August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fin36013_1017"/>
      <w:bookmarkEnd w:id="50"/>
      <w:r>
        <w:rPr>
          <w:rFonts w:ascii="Times New Roman" w:hAnsi="Times New Roman"/>
          <w:b/>
          <w:sz w:val="20"/>
        </w:rPr>
        <w:t xml:space="preserve">I. CONSOLIDATED STATEMENT OF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1"/>
        <w:gridCol w:w="141"/>
        <w:gridCol w:w="88"/>
        <w:gridCol w:w="480"/>
        <w:gridCol w:w="60"/>
        <w:gridCol w:w="141"/>
        <w:gridCol w:w="60"/>
        <w:gridCol w:w="785"/>
        <w:gridCol w:w="159"/>
        <w:gridCol w:w="111"/>
        <w:gridCol w:w="60"/>
        <w:gridCol w:w="785"/>
        <w:gridCol w:w="164"/>
      </w:tblGrid>
      <w:tr>
        <w:trPr/>
        <w:tc>
          <w:tcPr>
            <w:tcW w:w="717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7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31,333</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16,436</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(16,350</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(11,353</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14,983</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5,083</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(5,879</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(4,451</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5.1</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(18,475</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(12,401</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(50,676</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(42,416</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(182</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19</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3,945</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4,130</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(1,778</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(58,063</w:t>
            </w:r>
          </w:p>
        </w:tc>
        <w:tc>
          <w:tcPr>
            <w:tcW w:w="159" w:type="dxa"/>
            <w:tcBorders/>
            <w:vAlign w:val="bottom"/>
          </w:tcPr>
          <w:p>
            <w:pPr>
              <w:pStyle w:val="TableContents"/>
              <w:bidi w:val="0"/>
              <w:spacing w:before="0" w:after="283"/>
              <w:jc w:val="left"/>
              <w:rPr>
                <w:b/>
              </w:rPr>
            </w:pPr>
            <w:r>
              <w:rPr>
                <w:b/>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(50,037</w:t>
            </w:r>
          </w:p>
        </w:tc>
        <w:tc>
          <w:tcPr>
            <w:tcW w:w="164" w:type="dxa"/>
            <w:tcBorders/>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10,220</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1,246</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(6,213</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(5,312</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(54,056</w:t>
            </w:r>
          </w:p>
        </w:tc>
        <w:tc>
          <w:tcPr>
            <w:tcW w:w="159"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(54,103</w:t>
            </w:r>
          </w:p>
        </w:tc>
        <w:tc>
          <w:tcPr>
            <w:tcW w:w="164" w:type="dxa"/>
            <w:tcBorders/>
            <w:shd w:fill="CCEEFF" w:val="clear"/>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(333</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(2</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(54,389</w:t>
            </w:r>
          </w:p>
        </w:tc>
        <w:tc>
          <w:tcPr>
            <w:tcW w:w="159"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(54,105</w:t>
            </w:r>
          </w:p>
        </w:tc>
        <w:tc>
          <w:tcPr>
            <w:tcW w:w="164" w:type="dxa"/>
            <w:tcBorders/>
            <w:shd w:fill="CCEEFF" w:val="clear"/>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(54,389</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(54,105</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Loss per share attributable to the ordinary equity holders of the company:</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loss per share</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(1.78</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(1.77</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Diluted loss per share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(1.78</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(1.77</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fin36013_1018"/>
      <w:bookmarkEnd w:id="51"/>
      <w:r>
        <w:rPr>
          <w:rFonts w:ascii="Times New Roman" w:hAnsi="Times New Roman"/>
          <w:b/>
          <w:sz w:val="20"/>
        </w:rPr>
        <w:t xml:space="preserve">II. CONSOLIDATED STATEMENT OF COMPREHENSIVE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3"/>
        <w:gridCol w:w="141"/>
        <w:gridCol w:w="88"/>
        <w:gridCol w:w="480"/>
        <w:gridCol w:w="60"/>
        <w:gridCol w:w="141"/>
        <w:gridCol w:w="60"/>
        <w:gridCol w:w="785"/>
        <w:gridCol w:w="158"/>
        <w:gridCol w:w="111"/>
        <w:gridCol w:w="60"/>
        <w:gridCol w:w="785"/>
        <w:gridCol w:w="163"/>
      </w:tblGrid>
      <w:tr>
        <w:trPr/>
        <w:tc>
          <w:tcPr>
            <w:tcW w:w="717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7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(54,389</w:t>
            </w:r>
          </w:p>
        </w:tc>
        <w:tc>
          <w:tcPr>
            <w:tcW w:w="158"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(54,105</w:t>
            </w:r>
          </w:p>
        </w:tc>
        <w:tc>
          <w:tcPr>
            <w:tcW w:w="163" w:type="dxa"/>
            <w:tcBorders/>
            <w:shd w:fill="CCEEFF" w:val="clear"/>
            <w:vAlign w:val="bottom"/>
          </w:tcPr>
          <w:p>
            <w:pPr>
              <w:pStyle w:val="TableContents"/>
              <w:bidi w:val="0"/>
              <w:spacing w:before="0" w:after="283"/>
              <w:jc w:val="left"/>
              <w:rPr>
                <w:b/>
              </w:rPr>
            </w:pPr>
            <w:r>
              <w:rPr>
                <w:b/>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17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might be reclassified into P&amp;L</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of foreign subsidiaries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i/>
              </w:rPr>
            </w:pPr>
            <w:r>
              <w:rPr>
                <w:i/>
              </w:rPr>
              <w:t>2.1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(15</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11</w:t>
            </w:r>
          </w:p>
        </w:tc>
        <w:tc>
          <w:tcPr>
            <w:tcW w:w="163" w:type="dxa"/>
            <w:tcBorders/>
            <w:vAlign w:val="bottom"/>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will not be reclassified into P&amp;L (net of deferred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Remeasurements of defined benefit plans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w:t>
            </w:r>
          </w:p>
        </w:tc>
        <w:tc>
          <w:tcPr>
            <w:tcW w:w="163" w:type="dxa"/>
            <w:tcBorders/>
            <w:vAlign w:val="bottom"/>
          </w:tcPr>
          <w:p>
            <w:pPr>
              <w:pStyle w:val="TableContents"/>
              <w:bidi w:val="0"/>
              <w:spacing w:before="0" w:after="283"/>
              <w:jc w:val="left"/>
              <w:rPr/>
            </w:pPr>
            <w:r>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for the year, net of deferred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(11</w:t>
            </w:r>
          </w:p>
        </w:tc>
        <w:tc>
          <w:tcPr>
            <w:tcW w:w="158"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w:t>
            </w:r>
          </w:p>
        </w:tc>
        <w:tc>
          <w:tcPr>
            <w:tcW w:w="163" w:type="dxa"/>
            <w:tcBorders/>
            <w:shd w:fill="CCEEFF" w:val="clear"/>
            <w:vAlign w:val="bottom"/>
          </w:tcPr>
          <w:p>
            <w:pPr>
              <w:pStyle w:val="TableContents"/>
              <w:bidi w:val="0"/>
              <w:spacing w:before="0" w:after="283"/>
              <w:jc w:val="left"/>
              <w:rPr/>
            </w:pPr>
            <w:r>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year</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(54,400</w:t>
            </w:r>
          </w:p>
        </w:tc>
        <w:tc>
          <w:tcPr>
            <w:tcW w:w="158" w:type="dxa"/>
            <w:tcBorders/>
            <w:vAlign w:val="bottom"/>
          </w:tcPr>
          <w:p>
            <w:pPr>
              <w:pStyle w:val="TableContents"/>
              <w:bidi w:val="0"/>
              <w:spacing w:before="0" w:after="283"/>
              <w:jc w:val="left"/>
              <w:rPr>
                <w:b/>
              </w:rPr>
            </w:pPr>
            <w:r>
              <w:rPr>
                <w:b/>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(54,099</w:t>
            </w:r>
          </w:p>
        </w:tc>
        <w:tc>
          <w:tcPr>
            <w:tcW w:w="163" w:type="dxa"/>
            <w:tcBorders/>
            <w:vAlign w:val="bottom"/>
          </w:tcPr>
          <w:p>
            <w:pPr>
              <w:pStyle w:val="TableContents"/>
              <w:bidi w:val="0"/>
              <w:spacing w:before="0" w:after="283"/>
              <w:jc w:val="left"/>
              <w:rPr>
                <w:b/>
              </w:rPr>
            </w:pPr>
            <w:r>
              <w:rPr>
                <w:b/>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i/>
              </w:rPr>
            </w:pPr>
            <w:r>
              <w:rPr>
                <w:i/>
              </w:rPr>
              <w:t>7</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(54,400</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(54,099</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fin36013_1019"/>
      <w:bookmarkEnd w:id="52"/>
      <w:r>
        <w:rPr>
          <w:rFonts w:ascii="Times New Roman" w:hAnsi="Times New Roman"/>
          <w:b/>
          <w:sz w:val="20"/>
        </w:rPr>
        <w:t xml:space="preserve">III. CONSOLIDATED STATEMENT OF FINANCIAL POSITION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60"/>
        <w:gridCol w:w="139"/>
        <w:gridCol w:w="597"/>
        <w:gridCol w:w="139"/>
        <w:gridCol w:w="60"/>
        <w:gridCol w:w="912"/>
        <w:gridCol w:w="156"/>
        <w:gridCol w:w="110"/>
        <w:gridCol w:w="60"/>
        <w:gridCol w:w="912"/>
        <w:gridCol w:w="160"/>
      </w:tblGrid>
      <w:tr>
        <w:trPr/>
        <w:tc>
          <w:tcPr>
            <w:tcW w:w="69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9" w:type="dxa"/>
            <w:tcBorders/>
            <w:vAlign w:val="bottom"/>
          </w:tcPr>
          <w:p>
            <w:pPr>
              <w:pStyle w:val="TableContents"/>
              <w:bidi w:val="0"/>
              <w:spacing w:before="0" w:after="283"/>
              <w:jc w:val="left"/>
              <w:rPr/>
            </w:pPr>
            <w:r>
              <w:rPr/>
              <w:t>  </w:t>
            </w:r>
          </w:p>
        </w:tc>
        <w:tc>
          <w:tcPr>
            <w:tcW w:w="597"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9"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6.1</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920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1,078</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57,931</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59,792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6.3</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10,949</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14,041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910</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1,086</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70,710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75,997</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6.4</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13,491</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5,651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4.2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7,286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1,022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8.1</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15,489</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2,056</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876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849</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11,217</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4,874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146,544</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17,247</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194,903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31,699</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265,613</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107,696</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6960" w:type="dxa"/>
            <w:tcBorders/>
            <w:vAlign w:val="center"/>
          </w:tcPr>
          <w:p>
            <w:pPr>
              <w:pStyle w:val="TableContents"/>
              <w:bidi w:val="0"/>
              <w:spacing w:before="0" w:after="283"/>
              <w:jc w:val="left"/>
              <w:rPr>
                <w:sz w:val="4"/>
                <w:szCs w:val="4"/>
              </w:rPr>
            </w:pPr>
            <w:r>
              <w:rPr>
                <w:sz w:val="4"/>
                <w:szCs w:val="4"/>
              </w:rPr>
            </w:r>
          </w:p>
        </w:tc>
        <w:tc>
          <w:tcPr>
            <w:tcW w:w="736" w:type="dxa"/>
            <w:gridSpan w:val="2"/>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9" w:type="dxa"/>
            <w:tcBorders/>
            <w:vAlign w:val="bottom"/>
          </w:tcPr>
          <w:p>
            <w:pPr>
              <w:pStyle w:val="TableContents"/>
              <w:bidi w:val="0"/>
              <w:spacing w:before="0" w:after="283"/>
              <w:jc w:val="left"/>
              <w:rPr/>
            </w:pPr>
            <w:r>
              <w:rPr/>
              <w:t>  </w:t>
            </w:r>
          </w:p>
        </w:tc>
        <w:tc>
          <w:tcPr>
            <w:tcW w:w="597"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9"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7</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7</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438,157</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185,590</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7</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(232,243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(177,854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7</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205,900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7,734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9,222</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61,011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12,185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14,427</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6.6</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6.10</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130</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21,420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75,581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8.4</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8,855</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4,412</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2,475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2,776</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8,525</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5,078</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4.2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7,406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5,172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6.6</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5,908</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4,001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6.10</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5,124</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2,942</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38,292</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24,381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59,713</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99,963</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265,613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107,696</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fin36013_10110"/>
      <w:bookmarkEnd w:id="53"/>
      <w:r>
        <w:rPr>
          <w:rFonts w:ascii="Times New Roman" w:hAnsi="Times New Roman"/>
          <w:b/>
          <w:sz w:val="20"/>
        </w:rPr>
        <w:t xml:space="preserve">IV. CONSOLIDATED STATEMENT OF CHANGES IN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3"/>
        <w:gridCol w:w="174"/>
        <w:gridCol w:w="734"/>
        <w:gridCol w:w="202"/>
        <w:gridCol w:w="86"/>
        <w:gridCol w:w="559"/>
        <w:gridCol w:w="77"/>
        <w:gridCol w:w="202"/>
        <w:gridCol w:w="77"/>
        <w:gridCol w:w="1060"/>
        <w:gridCol w:w="198"/>
        <w:gridCol w:w="140"/>
        <w:gridCol w:w="77"/>
        <w:gridCol w:w="1177"/>
        <w:gridCol w:w="198"/>
        <w:gridCol w:w="140"/>
        <w:gridCol w:w="105"/>
        <w:gridCol w:w="702"/>
        <w:gridCol w:w="155"/>
        <w:gridCol w:w="126"/>
        <w:gridCol w:w="60"/>
        <w:gridCol w:w="800"/>
        <w:gridCol w:w="163"/>
      </w:tblGrid>
      <w:tr>
        <w:trPr/>
        <w:tc>
          <w:tcPr>
            <w:tcW w:w="2993"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34" w:type="dxa"/>
            <w:gridSpan w:val="16"/>
            <w:tcBorders/>
            <w:vAlign w:val="bottom"/>
          </w:tcPr>
          <w:p>
            <w:pPr>
              <w:pStyle w:val="TableContents"/>
              <w:bidi w:val="0"/>
              <w:spacing w:before="0" w:after="283"/>
              <w:jc w:val="center"/>
              <w:rPr>
                <w:b/>
              </w:rPr>
            </w:pPr>
            <w:r>
              <w:rPr>
                <w:b/>
              </w:rPr>
              <w:t>Equity attributable to equity holders of the parent</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74" w:type="dxa"/>
            <w:tcBorders/>
            <w:vAlign w:val="bottom"/>
          </w:tcPr>
          <w:p>
            <w:pPr>
              <w:pStyle w:val="TableContents"/>
              <w:bidi w:val="0"/>
              <w:spacing w:before="0" w:after="283"/>
              <w:jc w:val="left"/>
              <w:rPr/>
            </w:pPr>
            <w:r>
              <w:rPr/>
              <w:t>  </w:t>
            </w:r>
          </w:p>
        </w:tc>
        <w:tc>
          <w:tcPr>
            <w:tcW w:w="734"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202" w:type="dxa"/>
            <w:tcBorders/>
            <w:vAlign w:val="bottom"/>
          </w:tcPr>
          <w:p>
            <w:pPr>
              <w:pStyle w:val="TableContents"/>
              <w:bidi w:val="0"/>
              <w:spacing w:before="0" w:after="283"/>
              <w:jc w:val="left"/>
              <w:rPr/>
            </w:pPr>
            <w:r>
              <w:rPr/>
              <w:t>  </w:t>
            </w:r>
          </w:p>
        </w:tc>
        <w:tc>
          <w:tcPr>
            <w:tcW w:w="645" w:type="dxa"/>
            <w:gridSpan w:val="2"/>
            <w:tcBorders>
              <w:bottom w:val="single" w:sz="8" w:space="0" w:color="000000"/>
            </w:tcBorders>
            <w:tcMar>
              <w:bottom w:w="28" w:type="dxa"/>
            </w:tcMar>
            <w:vAlign w:val="bottom"/>
          </w:tcPr>
          <w:p>
            <w:pPr>
              <w:pStyle w:val="TableContents"/>
              <w:bidi w:val="0"/>
              <w:spacing w:before="0" w:after="283"/>
              <w:jc w:val="center"/>
              <w:rPr/>
            </w:pPr>
            <w:r>
              <w:rPr/>
              <w:t>Share</w:t>
              <w:br/>
              <w:t>capital</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pPr>
            <w:r>
              <w:rPr/>
              <w:t>Capital</w:t>
              <w:br/>
              <w:t>reserves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pPr>
            <w:r>
              <w:rPr/>
              <w:t>Retained</w:t>
              <w:br/>
              <w:t>earnings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bottom"/>
          </w:tcPr>
          <w:p>
            <w:pPr>
              <w:pStyle w:val="TableContents"/>
              <w:bidi w:val="0"/>
              <w:spacing w:before="0" w:after="283"/>
              <w:jc w:val="center"/>
              <w:rPr/>
            </w:pPr>
            <w:r>
              <w:rPr/>
              <w:t>Other</w:t>
              <w:br/>
              <w:t>reserves</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63" w:type="dxa"/>
            <w:tcBorders/>
            <w:vAlign w:val="bottom"/>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182,982</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(123,749</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(10</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59,225</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(54,105</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(54,105</w:t>
            </w:r>
          </w:p>
        </w:tc>
        <w:tc>
          <w:tcPr>
            <w:tcW w:w="163" w:type="dxa"/>
            <w:tcBorders/>
            <w:vAlign w:val="bottom"/>
          </w:tcPr>
          <w:p>
            <w:pPr>
              <w:pStyle w:val="TableContents"/>
              <w:bidi w:val="0"/>
              <w:spacing w:before="0" w:after="283"/>
              <w:jc w:val="left"/>
              <w:rPr>
                <w:b/>
              </w:rPr>
            </w:pPr>
            <w:r>
              <w:rPr>
                <w:b/>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loss for the year</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b/>
              </w:rPr>
            </w:pPr>
            <w:r>
              <w:rPr>
                <w:b/>
              </w:rPr>
              <w:t>(54,105</w:t>
            </w:r>
          </w:p>
        </w:tc>
        <w:tc>
          <w:tcPr>
            <w:tcW w:w="198"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(54,099</w:t>
            </w:r>
          </w:p>
        </w:tc>
        <w:tc>
          <w:tcPr>
            <w:tcW w:w="163" w:type="dxa"/>
            <w:tcBorders/>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6.7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2,608</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2,608</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contributions and distributions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2,608</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2,608</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185,590</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(177,854</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(5</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7,734</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b/>
              </w:rPr>
            </w:pPr>
            <w:r>
              <w:rPr>
                <w:b/>
              </w:rPr>
              <w:t>3</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185,590</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b/>
              </w:rPr>
            </w:pPr>
            <w:r>
              <w:rPr>
                <w:b/>
              </w:rPr>
              <w:t>(177,854</w:t>
            </w:r>
          </w:p>
        </w:tc>
        <w:tc>
          <w:tcPr>
            <w:tcW w:w="198"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7,734</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(54,389</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(54,389</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loss for the year</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(11</w:t>
            </w:r>
          </w:p>
        </w:tc>
        <w:tc>
          <w:tcPr>
            <w:tcW w:w="163" w:type="dxa"/>
            <w:tcBorders/>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(54,389</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(11</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(54,400</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 contribution</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center"/>
              <w:rPr>
                <w:i/>
              </w:rPr>
            </w:pPr>
            <w:r>
              <w:rPr>
                <w:i/>
              </w:rPr>
              <w:t>7</w:t>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282,177</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282,177</w:t>
            </w:r>
          </w:p>
        </w:tc>
        <w:tc>
          <w:tcPr>
            <w:tcW w:w="163" w:type="dxa"/>
            <w:tcBorders/>
            <w:vAlign w:val="bottom"/>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(29,490</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(29,490</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 - net of deferred tax</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center"/>
              <w:rPr>
                <w:i/>
              </w:rPr>
            </w:pPr>
            <w:r>
              <w:rPr>
                <w:i/>
              </w:rPr>
              <w:t>7</w:t>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(6,392</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(6,392</w:t>
            </w:r>
          </w:p>
        </w:tc>
        <w:tc>
          <w:tcPr>
            <w:tcW w:w="163" w:type="dxa"/>
            <w:tcBorders/>
            <w:vAlign w:val="bottom"/>
          </w:tcPr>
          <w:p>
            <w:pPr>
              <w:pStyle w:val="TableContents"/>
              <w:bidi w:val="0"/>
              <w:spacing w:before="0" w:after="283"/>
              <w:jc w:val="left"/>
              <w:rPr>
                <w:b/>
              </w:rPr>
            </w:pPr>
            <w:r>
              <w:rPr>
                <w:b/>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6.7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6,272</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6,272</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contributions and distributions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252,567</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252,567</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438,157</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(232,243</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(16</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205,900</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fin36013_10111"/>
      <w:bookmarkEnd w:id="54"/>
      <w:r>
        <w:rPr>
          <w:rFonts w:ascii="Times New Roman" w:hAnsi="Times New Roman"/>
          <w:b/>
          <w:sz w:val="20"/>
        </w:rPr>
        <w:t xml:space="preserve">V. CONSOLIDATED STATEMENT OF CASHFLOWS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6"/>
        <w:gridCol w:w="138"/>
        <w:gridCol w:w="1204"/>
        <w:gridCol w:w="138"/>
        <w:gridCol w:w="60"/>
        <w:gridCol w:w="869"/>
        <w:gridCol w:w="155"/>
        <w:gridCol w:w="109"/>
        <w:gridCol w:w="60"/>
        <w:gridCol w:w="766"/>
        <w:gridCol w:w="160"/>
      </w:tblGrid>
      <w:tr>
        <w:trPr/>
        <w:tc>
          <w:tcPr>
            <w:tcW w:w="654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4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8" w:type="dxa"/>
            <w:tcBorders/>
            <w:vAlign w:val="bottom"/>
          </w:tcPr>
          <w:p>
            <w:pPr>
              <w:pStyle w:val="TableContents"/>
              <w:bidi w:val="0"/>
              <w:spacing w:before="0" w:after="283"/>
              <w:jc w:val="left"/>
              <w:rPr/>
            </w:pPr>
            <w:r>
              <w:rPr/>
              <w:t>  </w:t>
            </w:r>
          </w:p>
        </w:tc>
        <w:tc>
          <w:tcPr>
            <w:tcW w:w="1204"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8"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(loss) for the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(54,389</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(54,105</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Adjustments for:</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amortization and impairment</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6.1, 6.2, 6.3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14,818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11,557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6.8</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119</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adjustments for non-cash items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649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Gain/Loss on sale of property, plant and equipment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1,198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6.7</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6,272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2,608</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income/cost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(4,185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4,062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5.4</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Changes in:</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6.4</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(7,788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(959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4.2</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(6,265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(641</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8.1</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(13,420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1,445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6.5</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(6,346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2,273</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8.4</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4,520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(3,662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4.2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2,278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(2,869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6.6</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1,909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334</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6.10</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2,014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1,459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paid/received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5.4</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operating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(57,197</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(39,470</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disposals of property, plant, and equipment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(11,536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(11,501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1,911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15</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investing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(9,597</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(11,486</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equity contributions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7</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282,177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 related to equity contributions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7</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(6,448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7</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(29,490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loans and borrowings incl. Transaction costs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10</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14,970</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loans and borrowings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10</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(41,000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(996</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lease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(3,521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824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2,332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(payment) of other financial assets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(42</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(6,534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(1,210</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financing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196,149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11,533</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cash equivalents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129,355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(39,424</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17,247</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56,641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and cash equivalents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30</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the end of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146,544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17,247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5" w:name="fin36013_10112"/>
      <w:bookmarkEnd w:id="55"/>
      <w:r>
        <w:rPr>
          <w:rFonts w:ascii="Times New Roman" w:hAnsi="Times New Roman"/>
          <w:b/>
          <w:sz w:val="20"/>
        </w:rPr>
        <w:t xml:space="preserve">VI. NOTES TO THE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Reporting entity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IFRS consolidated financial statements comprise the parent entity and its subsidiaries of the IQM Group (the “Group”, or “IQM” or “IQM Group”), of which IQM Finland Oy (the “Company”) is the parent. The Company is located in Finland and the Company’s address is Keilaranta 19, 02150 Espoo, Finland. </w:t>
      </w:r>
    </w:p>
    <w:p>
      <w:pPr>
        <w:pStyle w:val="TextBody"/>
        <w:bidi w:val="0"/>
        <w:spacing w:before="240" w:after="0"/>
        <w:jc w:val="left"/>
        <w:rPr>
          <w:rFonts w:ascii="Times New Roman" w:hAnsi="Times New Roman"/>
          <w:sz w:val="20"/>
        </w:rPr>
      </w:pPr>
      <w:r>
        <w:rPr>
          <w:rFonts w:ascii="Times New Roman" w:hAnsi="Times New Roman"/>
          <w:sz w:val="20"/>
        </w:rPr>
        <w:t xml:space="preserve">IQM Finland Oy (“IQM”) is a global leader in the development and commercialization of superconducting quantum computers and related services. Founded in 2018 as a spin-off from Aalto University and VTT Technical Research Centre of Finland, IQM has positioned itself as one of Europe’s leading developers of quantum computing systems. The Group is headquartered in Espoo, Finland, with subsidiaries in Germany, France, Italy, Japan, Poland, Spain, Singapore, and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accounting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the Group have been prepared in accordance with International Financial Reporting Standards (IFRS® Accounting Standards) as issued by the International Accounting Standards Board (IASB). </w:t>
      </w:r>
    </w:p>
    <w:p>
      <w:pPr>
        <w:pStyle w:val="TextBody"/>
        <w:bidi w:val="0"/>
        <w:spacing w:before="240" w:after="0"/>
        <w:jc w:val="left"/>
        <w:rPr>
          <w:rFonts w:ascii="Times New Roman" w:hAnsi="Times New Roman"/>
          <w:sz w:val="20"/>
        </w:rPr>
      </w:pPr>
      <w:r>
        <w:rPr>
          <w:rFonts w:ascii="Times New Roman" w:hAnsi="Times New Roman"/>
          <w:sz w:val="20"/>
        </w:rPr>
        <w:t xml:space="preserve">The IFRS Consolidated Financial Statements were authorized for issue by the Company’s Board of Directors on April 3, 2026.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are presented in Euro (EUR). Unless otherwise stated, all figures presented herein in EUR are rounded to the nearest thousand EUR. Due to rounding, it is possible that individual figures in these consolidated financial statements do not add up exactly to the totals given and that the percentages shown do not exactly reflect the absolute figures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the consolidated financial statements have been prepared on a historical cost basis. </w:t>
      </w:r>
    </w:p>
    <w:p>
      <w:pPr>
        <w:pStyle w:val="TextBody"/>
        <w:bidi w:val="0"/>
        <w:spacing w:before="240" w:after="0"/>
        <w:jc w:val="left"/>
        <w:rPr>
          <w:rFonts w:ascii="Times New Roman" w:hAnsi="Times New Roman"/>
          <w:sz w:val="20"/>
        </w:rPr>
      </w:pPr>
      <w:r>
        <w:rPr>
          <w:rFonts w:ascii="Times New Roman" w:hAnsi="Times New Roman"/>
          <w:sz w:val="20"/>
        </w:rPr>
        <w:t xml:space="preserve">The Group’s financial year corresponds to the calendar year and covers the period from January 1 to December 31 of each year. The Group reporting date of December 31 corresponds to the reporting date of the parent company and all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Key estimates and judgments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preparation of the Group’s consolidated financial statements requires management to make judgments, estimates and assumptions that affect the reported amounts of income, expenses, assets and liabilities, as well as the related disclosure of contingent liabilities. Uncertainty about these assumptions and estimates could result in outcomes that require a material adjustment to the carrying amount of assets or liabilities affected in future periods. Estimates and underlying assumptions are reviewed on an ongoing basis. Changes to estimates are recognized prospectively.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1.3.1.</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Estimates and Assumptions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key sources of estimation uncertainty and assumptions made that have a risk of resulting in a material adjustment to the carrying amounts of assets and liabilities within the next financial year are outlined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Estimation of fair values of the ESOPs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Estimation of progress towards completion using the input method (cost-to-cost), affecting the timing and amount of revenue recognized.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Estimation of the fair value of embedded derivatives, including the application of valuation techniques and significant assumptions, in particular regarding the expected timing of exercise.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Estimates and underlying assumptions are reviewed on an ongoing basis. Revisions to estimates are recognized prospectively.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Share-based payments </w:t>
      </w:r>
    </w:p>
    <w:p>
      <w:pPr>
        <w:pStyle w:val="TextBody"/>
        <w:bidi w:val="0"/>
        <w:spacing w:before="120" w:after="0"/>
        <w:jc w:val="left"/>
        <w:rPr>
          <w:rFonts w:ascii="Times New Roman" w:hAnsi="Times New Roman"/>
          <w:sz w:val="20"/>
        </w:rPr>
      </w:pPr>
      <w:r>
        <w:rPr>
          <w:rFonts w:ascii="Times New Roman" w:hAnsi="Times New Roman"/>
          <w:sz w:val="20"/>
        </w:rPr>
        <w:t xml:space="preserve">Equity-settled share-based payment arrangements are recognized at their grant date fair value in the capital reserves. The corresponding expense is recognized over the vesting period as personnel expense. The measurement is based on a Black-Scholes option pricing model using the Company’s equity value based on its most recent financing, the historical share price volatility of a peer group and a risk-free interest rate based on the yield of government bonds as input parameters. The assessment of the relevant transaction date and the expected number of instruments to vest are reviewed based on past experience and other relevant factors, including expectations of future events.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Revenue recognition – measurement of progress towards completion </w:t>
      </w:r>
    </w:p>
    <w:p>
      <w:pPr>
        <w:pStyle w:val="TextBody"/>
        <w:bidi w:val="0"/>
        <w:spacing w:before="120" w:after="0"/>
        <w:jc w:val="left"/>
        <w:rPr>
          <w:rFonts w:ascii="Times New Roman" w:hAnsi="Times New Roman"/>
          <w:sz w:val="20"/>
        </w:rPr>
      </w:pPr>
      <w:r>
        <w:rPr>
          <w:rFonts w:ascii="Times New Roman" w:hAnsi="Times New Roman"/>
          <w:sz w:val="20"/>
        </w:rPr>
        <w:t xml:space="preserve">The Group recognizes revenue from on-premises quantum computer sales over time using the cost-to-cost input method. The percentage of completion is determined as the ratio of costs incurred to date to the total estimated costs to fulfill the contract. Estimating total contract costs requires significant judgment, as it depends on future cost forecasts that are subject to technical risk.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When measuring the fair value of an asset or a liability, the Group uses observable market data as far as possible. When using unobservable market parameters, key estimates and assessments need to be determined. IQM regularly reviews significant unobservable inputs and valuation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4"/>
        <w:gridCol w:w="9691"/>
      </w:tblGrid>
      <w:tr>
        <w:trPr/>
        <w:tc>
          <w:tcPr>
            <w:tcW w:w="514" w:type="dxa"/>
            <w:tcBorders/>
          </w:tcPr>
          <w:p>
            <w:pPr>
              <w:pStyle w:val="TableContents"/>
              <w:bidi w:val="0"/>
              <w:spacing w:before="0" w:after="283"/>
              <w:jc w:val="left"/>
              <w:rPr>
                <w:b/>
              </w:rPr>
            </w:pPr>
            <w:r>
              <w:rPr>
                <w:b/>
              </w:rPr>
              <w:t>1.3.2.</w:t>
            </w:r>
          </w:p>
        </w:tc>
        <w:tc>
          <w:tcPr>
            <w:tcW w:w="96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Judgments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process of applying the Group’s accounting policies, management has made the following judgments, which have the most significant effect on the amounts recognized in the consolidated financial statements.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Group has entered into financing arrangements that include prepayment options and conversion features. Determining the appropriate accounting treatment of these features requires significant judgment, in particular in assessing whether the respective features constitute embedded derivatives that are closely related to the host debt instrument in accordance with IFRS 9. </w:t>
      </w:r>
    </w:p>
    <w:p>
      <w:pPr>
        <w:pStyle w:val="TextBody"/>
        <w:bidi w:val="0"/>
        <w:spacing w:before="240" w:after="0"/>
        <w:jc w:val="left"/>
        <w:rPr>
          <w:rFonts w:ascii="Times New Roman" w:hAnsi="Times New Roman"/>
          <w:sz w:val="20"/>
        </w:rPr>
      </w:pPr>
      <w:r>
        <w:rPr>
          <w:rFonts w:ascii="Times New Roman" w:hAnsi="Times New Roman"/>
          <w:sz w:val="20"/>
        </w:rPr>
        <w:t xml:space="preserve">Management applied judgment in assessing whether these prepayment options are closely related to the host debt instrument. This assessment required an evaluation of the contractual prepayment terms, including the relationship between the prepayment amount and the outstanding principal and accrued interest, the existence of compensation for early termination, and the exposure to changes in market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Certain financial liabilities include conversion features that allow the lender to convert the outstanding loan amount into equity instruments of the Group. Management exercised judgment in assessing whether these conversion features are closely related to the host debt instrument. In making this assessment, management considered, among other factors, the contractual conversion mechanics, the variability in the number of equity instruments to be issued and the linkage to future financing events or valuation metrics.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Note </w:t>
      </w:r>
      <w:r>
        <w:rPr>
          <w:rFonts w:ascii="Times New Roman" w:hAnsi="Times New Roman"/>
          <w:sz w:val="20"/>
          <w:u w:val="single"/>
        </w:rPr>
        <w:t>8</w:t>
      </w:r>
      <w:r>
        <w:rPr>
          <w:rFonts w:ascii="Times New Roman" w:hAnsi="Times New Roman"/>
          <w:sz w:val="20"/>
        </w:rPr>
        <w:t xml:space="preserve"> for further information on the accounting treatment of financing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2.1.1.</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currency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Transactions in foreign currencies are translated into the respective functional currencies of the group companies at the exchange rates at the dates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Monetary assets and liabilities denominated in foreign currencies are translated into the functional currency at the exchange rate of the transaction date and subsequently at the reporting date. Non-monetary assets and liabilities that are measured at fair value in a foreign currency are translated into the functional currency at the exchange rate when the fair value was determined. Non-monetary items that are measured based on historical cost in a foreign currency are translated at the exchange rates at the date of the transaction. Foreign currency effects are generally recognized in the consolidated statement of profit or loss as part of the financial result.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assets and liabilities of foreign operations are translated into Euros at the exchange rates at the reporting date. Income and expenses of foreign operations are translated into Euros at period specific average exchange rates. Foreign currency differences are recognized in other comprehensive income (OCI) and accumulated in the translation 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principal market for the asset or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 principal market, in the most advantageous market for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principal or the most advantageous market must be accessible by the Group.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an asset or a liability is measured using the assumptions that market participants would use when pricing the asset or liability, assuming that market participants act in their economic best interest. </w:t>
      </w:r>
    </w:p>
    <w:p>
      <w:pPr>
        <w:pStyle w:val="TextBody"/>
        <w:bidi w:val="0"/>
        <w:spacing w:before="240" w:after="0"/>
        <w:jc w:val="left"/>
        <w:rPr>
          <w:rFonts w:ascii="Times New Roman" w:hAnsi="Times New Roman"/>
          <w:sz w:val="20"/>
        </w:rPr>
      </w:pPr>
      <w:r>
        <w:rPr>
          <w:rFonts w:ascii="Times New Roman" w:hAnsi="Times New Roman"/>
          <w:sz w:val="20"/>
        </w:rPr>
        <w:t xml:space="preserve">The Group uses valuation techniques that are appropriate in the circumstances and for which sufficient data are available to measure fair value, maximizing the use of relevant observable inputs and minimizing the use of unobservable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All assets and liabilities for which fair value is measured or disclosed in the financial statements are categorized within the fair value hierarchy, described as follows, based on the lowest level input that is significant to the fair value measurement as a whole: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(unadjusted) market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Valuation techniques for which the lowest level input that is significant to the fair value measurement is directly or indirectly observable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Valuation techniques for which the lowest level input that is significant to the fair value measurement is unobservable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 of fair value disclosures, the Group has determined classes of assets and liabilities on the basis of the nature, characteristics and risks of the asset or liability and the level of the fair value hierarchy, as explained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2.3.</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0"/>
        <w:gridCol w:w="9675"/>
      </w:tblGrid>
      <w:tr>
        <w:trPr/>
        <w:tc>
          <w:tcPr>
            <w:tcW w:w="530" w:type="dxa"/>
            <w:tcBorders/>
          </w:tcPr>
          <w:p>
            <w:pPr>
              <w:pStyle w:val="TableContents"/>
              <w:bidi w:val="0"/>
              <w:spacing w:before="0" w:after="283"/>
              <w:jc w:val="left"/>
              <w:rPr>
                <w:b/>
              </w:rPr>
            </w:pPr>
            <w:r>
              <w:rPr>
                <w:b/>
              </w:rPr>
              <w:t>2.3.1.</w:t>
            </w:r>
          </w:p>
        </w:tc>
        <w:tc>
          <w:tcPr>
            <w:tcW w:w="967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control of goods or services is transferred to the customer in an amount that reflects the consideration to which the Group expects to be entitled in exchange for those goods or services. </w:t>
      </w:r>
    </w:p>
    <w:p>
      <w:pPr>
        <w:pStyle w:val="TextBody"/>
        <w:bidi w:val="0"/>
        <w:spacing w:before="240" w:after="0"/>
        <w:jc w:val="left"/>
        <w:rPr>
          <w:rFonts w:ascii="Times New Roman" w:hAnsi="Times New Roman"/>
          <w:sz w:val="20"/>
        </w:rPr>
      </w:pPr>
      <w:r>
        <w:rPr>
          <w:rFonts w:ascii="Times New Roman" w:hAnsi="Times New Roman"/>
          <w:sz w:val="20"/>
        </w:rPr>
        <w:t xml:space="preserve">Revenue from customized on-premises quantum computer systems is generally recognized over time, as the systems are highly customized, have no alternative use to the Group, and the Group has an enforceable right to payment for performance completed to date. Progress is measured using the cost-to-cost method. The cost-to-cost method is applied as the contracts involve highly customized systems and significant integration activities, for which costs incurred represent the most appropriate measure of progress. The costs incurred are closely aligned with the progress toward completion of the integrated system, as the systems are developed cumulatively, each cost incurred meaningfully contributes to the customer specific configuration and overall completion of the system. Typical contract performance periods range from approximately 12 to 18 months, depending on the complexity and integration requirements of the respective quantum computer system. </w:t>
      </w:r>
    </w:p>
    <w:p>
      <w:pPr>
        <w:pStyle w:val="TextBody"/>
        <w:bidi w:val="0"/>
        <w:spacing w:before="240" w:after="0"/>
        <w:jc w:val="left"/>
        <w:rPr>
          <w:rFonts w:ascii="Times New Roman" w:hAnsi="Times New Roman"/>
          <w:sz w:val="20"/>
        </w:rPr>
      </w:pPr>
      <w:r>
        <w:rPr>
          <w:rFonts w:ascii="Times New Roman" w:hAnsi="Times New Roman"/>
          <w:sz w:val="20"/>
        </w:rPr>
        <w:t xml:space="preserve">Revenue from standardized systems is recognized at a point in time when control transfers to the customer. Depending on the contractual terms of the arrangement, transfer of control is generally evidenced by indicators such as delivery, customer acceptance, and the existence of a present right to payment. </w:t>
      </w:r>
    </w:p>
    <w:p>
      <w:pPr>
        <w:pStyle w:val="TextBody"/>
        <w:bidi w:val="0"/>
        <w:spacing w:before="240" w:after="0"/>
        <w:jc w:val="left"/>
        <w:rPr>
          <w:rFonts w:ascii="Times New Roman" w:hAnsi="Times New Roman"/>
          <w:sz w:val="20"/>
        </w:rPr>
      </w:pPr>
      <w:r>
        <w:rPr>
          <w:rFonts w:ascii="Times New Roman" w:hAnsi="Times New Roman"/>
          <w:sz w:val="20"/>
        </w:rPr>
        <w:t xml:space="preserve">Revenue from co-development projects is generally recognized over time when the customer simultaneously receives and consumes the benefits of the Group’s performance, or when the asset created has no alternative use to the Group and the Group has an enforceable right to payment for performance completed to date. Progress towards complete satisfaction of these performance obligations is measured using the cost-to-cost method. </w:t>
      </w:r>
    </w:p>
    <w:p>
      <w:pPr>
        <w:pStyle w:val="TextBody"/>
        <w:bidi w:val="0"/>
        <w:spacing w:before="240" w:after="0"/>
        <w:jc w:val="left"/>
        <w:rPr>
          <w:rFonts w:ascii="Times New Roman" w:hAnsi="Times New Roman"/>
          <w:sz w:val="20"/>
        </w:rPr>
      </w:pPr>
      <w:r>
        <w:rPr>
          <w:rFonts w:ascii="Times New Roman" w:hAnsi="Times New Roman"/>
          <w:sz w:val="20"/>
        </w:rPr>
        <w:t xml:space="preserve">Revenue from maintenance and technical support is recognized over time on a straight-line basis over the contractual service period, as the customer receives and consumes the benefits of these services evenly over time. Training revenue is either recognized as part of performance obligation of a delivery project or as separate performance obligation at point in time when the service is delivered. </w:t>
      </w:r>
    </w:p>
    <w:p>
      <w:pPr>
        <w:pStyle w:val="TextBody"/>
        <w:bidi w:val="0"/>
        <w:spacing w:before="240" w:after="0"/>
        <w:jc w:val="left"/>
        <w:rPr>
          <w:rFonts w:ascii="Times New Roman" w:hAnsi="Times New Roman"/>
          <w:sz w:val="20"/>
        </w:rPr>
      </w:pPr>
      <w:r>
        <w:rPr>
          <w:rFonts w:ascii="Times New Roman" w:hAnsi="Times New Roman"/>
          <w:sz w:val="20"/>
        </w:rPr>
        <w:t xml:space="preserve">Revenue from cloud-based usage of IQM quantum computers is recognized when the relevant service is delivered to the customer. Each unit of usage is generally considered a distinct service and revenue is recognized as the usage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2.3.2.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Projects undertaken by IQM typically involve the design, fabrication, delivery, and installation of advanced, customized quantum computing systems and software. These elements are highly interdependent and cannot be separated from one another from the perspective of the customer, as they form a cohesive output tailored to the customer’s specific requirements. As such, IQM identifies each of the following as a single-performance obligation: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customized on-premises quantum computer systems sold under a development, fabrication, delivery, installation and commissioning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standardized computer systems sold without significant customization or integration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co-development projects in which the Group develops and delivers a customized on-premises quantum computer system in collaboration with the customer.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certain cases, contracts may include additional services, such as operational support or maintenance. These ongoing services are evaluated separately to determine whether they represent distinct performance obligations. If the ongoing services are not distinct, they are combined with the initial project phase into a single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Cloud platform usage of quantum computers is recognized on a usage basis. Post installation professional services such as training, maintenance and technical support sold under separate contracts or as separately priced add-ons are accounted for as distinct performance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2.3.3.</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 price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transaction price for IQM’s customer contracts primarily consists of fixed milestone payments tied to key phases of the project (e.g., the delivery of hardware or software installation). These milestones are pre-defined in the contract and generally linked to measurable deliverables. </w:t>
      </w:r>
    </w:p>
    <w:p>
      <w:pPr>
        <w:pStyle w:val="TextBody"/>
        <w:bidi w:val="0"/>
        <w:spacing w:before="240" w:after="0"/>
        <w:jc w:val="left"/>
        <w:rPr>
          <w:rFonts w:ascii="Times New Roman" w:hAnsi="Times New Roman"/>
          <w:sz w:val="20"/>
        </w:rPr>
      </w:pPr>
      <w:r>
        <w:rPr>
          <w:rFonts w:ascii="Times New Roman" w:hAnsi="Times New Roman"/>
          <w:sz w:val="20"/>
        </w:rPr>
        <w:t xml:space="preserve">Variable consideration, such as penalties for late delivery, is included in the transaction price only to the extent that it is highly probable that no significant reversal of cumulative revenue will occur. IQM applies the most likely amount method to estimate variable consideration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enter into contracts involving significant financing components, non-cash consideration, or significant customer discounts.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6"/>
        <w:gridCol w:w="9679"/>
      </w:tblGrid>
      <w:tr>
        <w:trPr/>
        <w:tc>
          <w:tcPr>
            <w:tcW w:w="526" w:type="dxa"/>
            <w:tcBorders/>
          </w:tcPr>
          <w:p>
            <w:pPr>
              <w:pStyle w:val="TableContents"/>
              <w:bidi w:val="0"/>
              <w:spacing w:before="0" w:after="283"/>
              <w:jc w:val="left"/>
              <w:rPr>
                <w:b/>
              </w:rPr>
            </w:pPr>
            <w:r>
              <w:rPr>
                <w:b/>
              </w:rPr>
              <w:t>2.3.4.</w:t>
            </w:r>
          </w:p>
        </w:tc>
        <w:tc>
          <w:tcPr>
            <w:tcW w:w="96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 balances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recognizes contract assets for the portion of revenue earned but not yet billed to customers and contract liabilities for advance payments received from customers before the related performance obligations have been met. Contract balances are continuously monitored and presented separately in the statement of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When a performance obligation is satisfied, any advance payments previously recorded as contract liabilities are recognized as revenue. </w:t>
      </w:r>
    </w:p>
    <w:p>
      <w:pPr>
        <w:pStyle w:val="TextBody"/>
        <w:bidi w:val="0"/>
        <w:spacing w:before="360" w:after="0"/>
        <w:jc w:val="left"/>
        <w:rPr>
          <w:rFonts w:ascii="Times New Roman" w:hAnsi="Times New Roman"/>
          <w:b/>
          <w:sz w:val="20"/>
        </w:rPr>
      </w:pPr>
      <w:r>
        <w:rPr>
          <w:rFonts w:ascii="Times New Roman" w:hAnsi="Times New Roman"/>
          <w:b/>
          <w:sz w:val="20"/>
        </w:rPr>
        <w:t xml:space="preserve">2.3.5. 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consists primarily of all direct and indirect expenses related to delivering projects, which typically involve the design, fabrication, delivery, and installation of advanced quantum computing systems. The costs are directly linked to the performance obligations under customer contracts. Cost of revenue also includes depreciation and amortization of assets which support the delivery of our projects, as well as costs related to logistics and warranty. In addition, there are allocated overhead costs for corporate functions and related costs such as depreciation, healthcare benefits, and training. Cost of revenue further comprises expenses for outsourced services and subcontracting directly related to the fulfillment of customer contracts, quality assurance costs, and other directly attributable costs incurred in the manufacturing and delivery of products and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1"/>
        <w:gridCol w:w="9674"/>
      </w:tblGrid>
      <w:tr>
        <w:trPr/>
        <w:tc>
          <w:tcPr>
            <w:tcW w:w="531" w:type="dxa"/>
            <w:tcBorders/>
          </w:tcPr>
          <w:p>
            <w:pPr>
              <w:pStyle w:val="TableContents"/>
              <w:bidi w:val="0"/>
              <w:spacing w:before="0" w:after="283"/>
              <w:jc w:val="left"/>
              <w:rPr>
                <w:b/>
              </w:rPr>
            </w:pPr>
            <w:r>
              <w:rPr>
                <w:b/>
              </w:rPr>
              <w:t>2.4.1.</w:t>
            </w:r>
          </w:p>
        </w:tc>
        <w:tc>
          <w:tcPr>
            <w:tcW w:w="967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Following initial recognition, acquired intangible assets are carried at cost less any accumulated amortization and accumulated impairment losses, if any. Cost includes any expenditures that are directly attributable to the acquisition of the asset, including costs incurred to prepare the asset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Intangible assets with limited useful lives are amortized on a straight-line basis over their respective expected useful lives to their estimated residual values and are assessed for impairment whenever there is an indication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intangible asset may be impaired. The amortization is included in the cost of revenue line item on the consolidated statement of loss. In general, the expected useful life for intangible assets is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5"/>
        <w:gridCol w:w="293"/>
        <w:gridCol w:w="60"/>
        <w:gridCol w:w="819"/>
        <w:gridCol w:w="62"/>
      </w:tblGrid>
      <w:tr>
        <w:trPr/>
        <w:tc>
          <w:tcPr>
            <w:tcW w:w="570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patents</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 years</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Amortization methods and useful lives are reviewed at least annually and adjusted prospectively, if appropriate.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2.4.2.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Research and development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relate to the advancement of our quantum computing technologies and system integration capabilities. These include personnel-related expenses, including salaries, bonuses, benefits , stock-based compensation and social security for physicists, engineers, and other technical staff involved in hardware, software, and algorithm development related to our quantum computers. Research and development costs also include expenses for specialized equipment, development software, as well as infrastructure costs such as computer resources, hosting services, and data centers which support these activities. Additionally, a portion of overhead costs are allocated to research and development expenses for corporate functions. </w:t>
      </w:r>
    </w:p>
    <w:p>
      <w:pPr>
        <w:pStyle w:val="TextBody"/>
        <w:bidi w:val="0"/>
        <w:spacing w:before="240" w:after="0"/>
        <w:jc w:val="left"/>
        <w:rPr>
          <w:rFonts w:ascii="Times New Roman" w:hAnsi="Times New Roman"/>
          <w:sz w:val="20"/>
        </w:rPr>
      </w:pPr>
      <w:r>
        <w:rPr>
          <w:rFonts w:ascii="Times New Roman" w:hAnsi="Times New Roman"/>
          <w:sz w:val="20"/>
        </w:rPr>
        <w:t xml:space="preserve">Research costs are recognized in the consolidated statement of profit or loss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capitalization criteria for development costs in accordance with IAS 38.57 are generally not met. As such, the development costs are recognized in the consolidated statement of profit or loss as incurred.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Machinery and equipment are stated at cost less accumulated depreciation and accumulated impairment. Depreciation of these assets commences when the assets are ready for their intended use. All other repair and maintenance costs are recognized in profit or loss as incurred. </w:t>
      </w:r>
    </w:p>
    <w:p>
      <w:pPr>
        <w:pStyle w:val="TextBody"/>
        <w:bidi w:val="0"/>
        <w:spacing w:before="240" w:after="0"/>
        <w:jc w:val="left"/>
        <w:rPr>
          <w:rFonts w:ascii="Times New Roman" w:hAnsi="Times New Roman"/>
          <w:sz w:val="20"/>
        </w:rPr>
      </w:pPr>
      <w:r>
        <w:rPr>
          <w:rFonts w:ascii="Times New Roman" w:hAnsi="Times New Roman"/>
          <w:sz w:val="20"/>
        </w:rPr>
        <w:t xml:space="preserve">Property, plant and equipment are depreciated on a straight-line basis and is included in the Cost of Revenue line item on the consolidated statement of loss. The following useful lives have been applied: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9"/>
        <w:gridCol w:w="278"/>
        <w:gridCol w:w="1142"/>
      </w:tblGrid>
      <w:tr>
        <w:trPr/>
        <w:tc>
          <w:tcPr>
            <w:tcW w:w="5519"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27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left"/>
              <w:rPr/>
            </w:pPr>
            <w:r>
              <w:rPr/>
              <w:t>10 years</w:t>
            </w:r>
          </w:p>
        </w:tc>
      </w:tr>
      <w:tr>
        <w:trPr/>
        <w:tc>
          <w:tcPr>
            <w:tcW w:w="5519" w:type="dxa"/>
            <w:tcBorders/>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7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left"/>
              <w:rPr/>
            </w:pPr>
            <w:r>
              <w:rPr/>
              <w:t>3 - 10 years</w:t>
            </w:r>
          </w:p>
        </w:tc>
      </w:tr>
      <w:tr>
        <w:trPr/>
        <w:tc>
          <w:tcPr>
            <w:tcW w:w="5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7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left"/>
              <w:rPr/>
            </w:pPr>
            <w:r>
              <w:rPr/>
              <w:t>5 - 10 years</w:t>
            </w:r>
          </w:p>
        </w:tc>
      </w:tr>
      <w:tr>
        <w:trPr/>
        <w:tc>
          <w:tcPr>
            <w:tcW w:w="5519" w:type="dxa"/>
            <w:tcBorders/>
          </w:tcPr>
          <w:p>
            <w:pPr>
              <w:pStyle w:val="TableContents"/>
              <w:bidi w:val="0"/>
              <w:spacing w:before="0" w:after="0"/>
              <w:jc w:val="left"/>
              <w:rPr>
                <w:rFonts w:ascii="Times New Roman" w:hAnsi="Times New Roman"/>
                <w:sz w:val="20"/>
              </w:rPr>
            </w:pPr>
            <w:r>
              <w:rPr>
                <w:rFonts w:ascii="Times New Roman" w:hAnsi="Times New Roman"/>
                <w:sz w:val="20"/>
              </w:rPr>
              <w:t>Office and other equipment:</w:t>
            </w:r>
          </w:p>
        </w:tc>
        <w:tc>
          <w:tcPr>
            <w:tcW w:w="27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left"/>
              <w:rPr/>
            </w:pPr>
            <w:r>
              <w:rPr/>
              <w:t>3 - 13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item of property, plant and equipment is derecognized upon disposal (i.e.,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statement of profit or loss as other operating income when the asset is derecognized. </w:t>
      </w:r>
    </w:p>
    <w:p>
      <w:pPr>
        <w:pStyle w:val="TextBody"/>
        <w:bidi w:val="0"/>
        <w:spacing w:before="240" w:after="0"/>
        <w:jc w:val="left"/>
        <w:rPr>
          <w:rFonts w:ascii="Times New Roman" w:hAnsi="Times New Roman"/>
          <w:sz w:val="20"/>
        </w:rPr>
      </w:pPr>
      <w:r>
        <w:rPr>
          <w:rFonts w:ascii="Times New Roman" w:hAnsi="Times New Roman"/>
          <w:sz w:val="20"/>
        </w:rPr>
        <w:t xml:space="preserve">The estimated useful lives, residual values and depreciation method are reviewed at the end of each reporting period, with the effect of any changes in estimate accounted for on a prospective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2.6.</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2.6.1.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IQM as lessee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leases office premises in several locations. The duration of the contracts varies between 2 years and 10 years. Further, IQM leases vehicles, for which the duration of the contracts is three years. The category “Other assets” mainly includes refrigerator systems, equipment and servers. The duration of the contracts varies between three and six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inception of a contract, the Group assesses whether a contract is or contains a lease. A contract is or contains a lease if the contract conveys the right to control the use of an identified asset for a period of time in exchange for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At commencement or on modification of a contract that contains a lease component, the Group allocates the consideration in the contract to each lease component on the basis of its stand-alone price. This policy applies to lease contracts concerning buildings. </w:t>
      </w:r>
    </w:p>
    <w:p>
      <w:pPr>
        <w:pStyle w:val="TextBody"/>
        <w:bidi w:val="0"/>
        <w:spacing w:before="240" w:after="0"/>
        <w:jc w:val="left"/>
        <w:rPr>
          <w:rFonts w:ascii="Times New Roman" w:hAnsi="Times New Roman"/>
          <w:sz w:val="20"/>
        </w:rPr>
      </w:pPr>
      <w:r>
        <w:rPr>
          <w:rFonts w:ascii="Times New Roman" w:hAnsi="Times New Roman"/>
          <w:sz w:val="20"/>
        </w:rPr>
        <w:t xml:space="preserve">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w:t>
      </w:r>
    </w:p>
    <w:p>
      <w:pPr>
        <w:pStyle w:val="TextBody"/>
        <w:bidi w:val="0"/>
        <w:spacing w:before="240" w:after="0"/>
        <w:jc w:val="left"/>
        <w:rPr>
          <w:rFonts w:ascii="Times New Roman" w:hAnsi="Times New Roman"/>
          <w:sz w:val="20"/>
        </w:rPr>
      </w:pPr>
      <w:r>
        <w:rPr>
          <w:rFonts w:ascii="Times New Roman" w:hAnsi="Times New Roman"/>
          <w:sz w:val="20"/>
        </w:rPr>
        <w:t xml:space="preserve">The Group determines its incremental borrowing rate (IBR) by obtaining interest rates from various external financing sources and makes certain adjustments to reflect the terms of the lease and the type of asset leased. </w:t>
      </w:r>
    </w:p>
    <w:p>
      <w:pPr>
        <w:pStyle w:val="TextBody"/>
        <w:bidi w:val="0"/>
        <w:spacing w:before="240" w:after="0"/>
        <w:jc w:val="left"/>
        <w:rPr>
          <w:rFonts w:ascii="Times New Roman" w:hAnsi="Times New Roman"/>
          <w:sz w:val="20"/>
        </w:rPr>
      </w:pPr>
      <w:r>
        <w:rPr>
          <w:rFonts w:ascii="Times New Roman" w:hAnsi="Times New Roman"/>
          <w:sz w:val="20"/>
        </w:rPr>
        <w:t xml:space="preserve">The right-of-use asset is subsequently depreciated using the straight-line method from the commencement date to the earlier of the end of the useful life of the right-of-use asset or the end of the lease term. The estimated useful lives of right-of-use assets are determined on the same basis as those of property and equipment. In addition, the right-of-use asset is periodically reduced by impairment losses, if any, and adjusted for certain remeasurements of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 </w:t>
      </w:r>
    </w:p>
    <w:p>
      <w:pPr>
        <w:pStyle w:val="TextBody"/>
        <w:bidi w:val="0"/>
        <w:spacing w:before="240" w:after="0"/>
        <w:jc w:val="left"/>
        <w:rPr>
          <w:rFonts w:ascii="Times New Roman" w:hAnsi="Times New Roman"/>
          <w:sz w:val="20"/>
        </w:rPr>
      </w:pPr>
      <w:r>
        <w:rPr>
          <w:rFonts w:ascii="Times New Roman" w:hAnsi="Times New Roman"/>
          <w:sz w:val="20"/>
        </w:rPr>
        <w:t xml:space="preserve">Lease payments included in the measurement of the lease liability consist of fixed payments that increase annually by a predetermined amount. </w:t>
      </w:r>
    </w:p>
    <w:p>
      <w:pPr>
        <w:pStyle w:val="TextBody"/>
        <w:bidi w:val="0"/>
        <w:spacing w:before="240" w:after="0"/>
        <w:jc w:val="left"/>
        <w:rPr>
          <w:rFonts w:ascii="Times New Roman" w:hAnsi="Times New Roman"/>
          <w:sz w:val="20"/>
        </w:rPr>
      </w:pPr>
      <w:r>
        <w:rPr>
          <w:rFonts w:ascii="Times New Roman" w:hAnsi="Times New Roman"/>
          <w:sz w:val="20"/>
        </w:rPr>
        <w:t xml:space="preserve">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a corresponding adjustment is made to the carrying amount of the right-of-use asset or is recorded in the consolidated statement of profit or loss if the carrying amount of the right-of-use asset has been reduced to zero. </w:t>
      </w:r>
    </w:p>
    <w:p>
      <w:pPr>
        <w:pStyle w:val="TextBody"/>
        <w:bidi w:val="0"/>
        <w:spacing w:before="240" w:after="0"/>
        <w:jc w:val="left"/>
        <w:rPr>
          <w:rFonts w:ascii="Times New Roman" w:hAnsi="Times New Roman"/>
          <w:sz w:val="20"/>
        </w:rPr>
      </w:pPr>
      <w:r>
        <w:rPr>
          <w:rFonts w:ascii="Times New Roman" w:hAnsi="Times New Roman"/>
          <w:sz w:val="20"/>
        </w:rPr>
        <w:t xml:space="preserve">The Group presents right-of-use assets and lease liabilities as a separate line item in the statement of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9690"/>
      </w:tblGrid>
      <w:tr>
        <w:trPr/>
        <w:tc>
          <w:tcPr>
            <w:tcW w:w="515" w:type="dxa"/>
            <w:tcBorders/>
          </w:tcPr>
          <w:p>
            <w:pPr>
              <w:pStyle w:val="TableContents"/>
              <w:bidi w:val="0"/>
              <w:spacing w:before="0" w:after="283"/>
              <w:jc w:val="left"/>
              <w:rPr>
                <w:b/>
              </w:rPr>
            </w:pPr>
            <w:r>
              <w:rPr>
                <w:b/>
              </w:rPr>
              <w:t>2.6.2.</w:t>
            </w:r>
          </w:p>
        </w:tc>
        <w:tc>
          <w:tcPr>
            <w:tcW w:w="96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leases and leases of low-value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does not recognize right-of-use assets and lease liabilities for short-term leases that have a lease term of 12 months or less and leases of low-value assets (e.g., office equipment, e-bikes). The Group recognizes the lease payments associated with these leases as an expense in the consolidated statement of profit or loss on a straight-line basis over the term of the contract.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2.7.</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Raw materials, work in progress, and finished goods are stated at the lower of cost and net realizable value. Cost comprises direct materials, direct labor, an appropriate proportion of variable and fixed overhead expenditure,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latter being allocated on a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w:t>
      </w:r>
    </w:p>
    <w:p>
      <w:pPr>
        <w:pStyle w:val="TextBody"/>
        <w:bidi w:val="0"/>
        <w:spacing w:before="240" w:after="0"/>
        <w:jc w:val="left"/>
        <w:rPr>
          <w:rFonts w:ascii="Times New Roman" w:hAnsi="Times New Roman"/>
          <w:sz w:val="20"/>
        </w:rPr>
      </w:pPr>
      <w:r>
        <w:rPr>
          <w:rFonts w:ascii="Times New Roman" w:hAnsi="Times New Roman"/>
          <w:sz w:val="20"/>
        </w:rPr>
        <w:t xml:space="preserve">Raw materials are measured at their weighted average cost.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2.8.</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 of the presentation in the statement of cashflows, cash and cash equivalents include cash on hand and positive bank balances. Bank overdrafts are shown within borrowings under current financial liabilities in the balance sheet. The Group does not recognize any impairment losses or expected credit losses on bank balances as the credit risk on bank balances measured at amortized cost is insignificant due to its short-term maturity and high external credit rating of the counterparties.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2.9.</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9690"/>
      </w:tblGrid>
      <w:tr>
        <w:trPr/>
        <w:tc>
          <w:tcPr>
            <w:tcW w:w="515" w:type="dxa"/>
            <w:tcBorders/>
          </w:tcPr>
          <w:p>
            <w:pPr>
              <w:pStyle w:val="TableContents"/>
              <w:bidi w:val="0"/>
              <w:spacing w:before="0" w:after="283"/>
              <w:jc w:val="left"/>
              <w:rPr>
                <w:b/>
              </w:rPr>
            </w:pPr>
            <w:r>
              <w:rPr>
                <w:b/>
              </w:rPr>
              <w:t>2.9.1.</w:t>
            </w:r>
          </w:p>
        </w:tc>
        <w:tc>
          <w:tcPr>
            <w:tcW w:w="96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employee benefits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Obligations under short-term benefits are recognized as an expense once the employee rendered the corresponding service. If the Group has a legal or constructive obligation to make a payment, it recognizes a liability for the expected amount to be paid, when and only when, a reliable estimate of the obligation can be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2.9.2.</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Employees and individuals providing equivalent or similar services are additionally compensated through equity-settled share-based payment arrangements. </w:t>
      </w:r>
    </w:p>
    <w:p>
      <w:pPr>
        <w:pStyle w:val="TextBody"/>
        <w:bidi w:val="0"/>
        <w:spacing w:before="240" w:after="0"/>
        <w:jc w:val="left"/>
        <w:rPr>
          <w:rFonts w:ascii="Times New Roman" w:hAnsi="Times New Roman"/>
          <w:sz w:val="20"/>
        </w:rPr>
      </w:pPr>
      <w:r>
        <w:rPr>
          <w:rFonts w:ascii="Times New Roman" w:hAnsi="Times New Roman"/>
          <w:sz w:val="20"/>
        </w:rPr>
        <w:t xml:space="preserve">For equity-settled awards, the expense is measured based on the grant date fair value of the equity instruments, determined using a suitable valuation technique as explained in Note </w:t>
      </w:r>
      <w:r>
        <w:rPr>
          <w:rFonts w:ascii="Times New Roman" w:hAnsi="Times New Roman"/>
          <w:sz w:val="20"/>
          <w:u w:val="single"/>
        </w:rPr>
        <w:t>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resulting costs are recognized over the vesting period in the respective functional expense categories such as selling expenses, research and development or general and administrative expenses alongside a corresponding increase in equity (within other reserves) or liabilities. The cumulative expense recognized at each reporting date reflects the proportion of the vesting period that has elapsed and, for equity-settled transactions, also considers the most accurate estimate of the number of equity instruments expected to be vested.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recognizes Warranty provisions arising from customer contracts. They are recognized when a present obligation exists, an outflow of resources is probable and the amount can be reliably estimated. </w:t>
      </w:r>
    </w:p>
    <w:p>
      <w:pPr>
        <w:pStyle w:val="TextBody"/>
        <w:bidi w:val="0"/>
        <w:spacing w:before="240" w:after="0"/>
        <w:jc w:val="left"/>
        <w:rPr>
          <w:rFonts w:ascii="Times New Roman" w:hAnsi="Times New Roman"/>
          <w:sz w:val="20"/>
        </w:rPr>
      </w:pPr>
      <w:r>
        <w:rPr>
          <w:rFonts w:ascii="Times New Roman" w:hAnsi="Times New Roman"/>
          <w:sz w:val="20"/>
        </w:rPr>
        <w:t xml:space="preserve">Warranty provisions are measured at management’s best estimate of the expected costs to settle the obligation, based on historical experience and current claim trends. Such warranties do not represent separate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Warranty provisions are expected to be utilized within the next 12 months through the settlement of claims or are reversed once the underlying warranty obligation expires.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0"/>
        <w:gridCol w:w="9575"/>
      </w:tblGrid>
      <w:tr>
        <w:trPr/>
        <w:tc>
          <w:tcPr>
            <w:tcW w:w="630" w:type="dxa"/>
            <w:tcBorders/>
          </w:tcPr>
          <w:p>
            <w:pPr>
              <w:pStyle w:val="TableContents"/>
              <w:bidi w:val="0"/>
              <w:spacing w:before="0" w:after="283"/>
              <w:jc w:val="left"/>
              <w:rPr>
                <w:b/>
              </w:rPr>
            </w:pPr>
            <w:r>
              <w:rPr>
                <w:b/>
              </w:rPr>
              <w:t>2.11.1.</w:t>
            </w:r>
          </w:p>
        </w:tc>
        <w:tc>
          <w:tcPr>
            <w:tcW w:w="957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Recognition and initial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recognizes trade receivables when the Group has an unconditional right to consideration. All other financial assets and liabilities are recognized for the first time when the entity becomes a party according to the contractual provisions of the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financial asset (except for a trade receivable without financing component) or a financial liability is initially measured at fair value plus or minus – for an item not measured at fair value with changes through profit or loss (FVtPL) – transaction costs that are directly attributable to its acquisition or issue. Trade receivables without a significant financing component are initially measured at their transaction price.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5"/>
        <w:gridCol w:w="9570"/>
      </w:tblGrid>
      <w:tr>
        <w:trPr/>
        <w:tc>
          <w:tcPr>
            <w:tcW w:w="635" w:type="dxa"/>
            <w:tcBorders/>
          </w:tcPr>
          <w:p>
            <w:pPr>
              <w:pStyle w:val="TableContents"/>
              <w:bidi w:val="0"/>
              <w:spacing w:before="0" w:after="283"/>
              <w:jc w:val="left"/>
              <w:rPr>
                <w:b/>
              </w:rPr>
            </w:pPr>
            <w:r>
              <w:rPr>
                <w:b/>
              </w:rPr>
              <w:t>2.11.2.</w:t>
            </w:r>
          </w:p>
        </w:tc>
        <w:tc>
          <w:tcPr>
            <w:tcW w:w="957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Classification and subsequent measurement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0"/>
        <w:gridCol w:w="9205"/>
      </w:tblGrid>
      <w:tr>
        <w:trPr/>
        <w:tc>
          <w:tcPr>
            <w:tcW w:w="1000" w:type="dxa"/>
            <w:tcBorders/>
          </w:tcPr>
          <w:p>
            <w:pPr>
              <w:pStyle w:val="TableContents"/>
              <w:bidi w:val="0"/>
              <w:spacing w:before="0" w:after="283"/>
              <w:jc w:val="left"/>
              <w:rPr>
                <w:b/>
              </w:rPr>
            </w:pPr>
            <w:r>
              <w:rPr>
                <w:b/>
              </w:rPr>
              <w:t>Financial</w:t>
            </w:r>
          </w:p>
        </w:tc>
        <w:tc>
          <w:tcPr>
            <w:tcW w:w="920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initial recognition, financial assets are classified and measured based on the business model (under which the assets are held) and the characteristics of their cashflows. </w:t>
      </w:r>
    </w:p>
    <w:p>
      <w:pPr>
        <w:pStyle w:val="TextBody"/>
        <w:bidi w:val="0"/>
        <w:spacing w:before="240" w:after="0"/>
        <w:jc w:val="left"/>
        <w:rPr>
          <w:rFonts w:ascii="Times New Roman" w:hAnsi="Times New Roman"/>
          <w:sz w:val="20"/>
        </w:rPr>
      </w:pPr>
      <w:r>
        <w:rPr>
          <w:rFonts w:ascii="Times New Roman" w:hAnsi="Times New Roman"/>
          <w:sz w:val="20"/>
        </w:rPr>
        <w:t xml:space="preserve">Financial assets are not reclassified after initial recognition unless the Group changes its business model to manage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The Group classifies its financial assets into the following measurement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measured at amortized cost” (AC)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measured at fair value with changes through profit or loss” (FVtPL).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financial asset is measured at amortized cost if it meets both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asset is held within a business model whose objective is to hold the financial asset to collect the contractual cashflows,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terms of the financial asset give rise on specified dates to cashflows that are solely payments of principal and interest on the principal amount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debt instrument is designated at FVtOCI if both of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asset is held within a business model whose objective is achieved by both collecting contractual cashflows and selling financial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terms of the financial asset give rise on specified dates to cashflows that are solely payments of principal and interest on the principal amount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receivables in the IQM Group are generally allocated to the “held to collect” business model and measured at amortized cost. Within the IQM Group all financial assets that are not measured at amortized cost are measured at FVtPL. </w:t>
      </w:r>
    </w:p>
    <w:p>
      <w:pPr>
        <w:pStyle w:val="TextBody"/>
        <w:bidi w:val="0"/>
        <w:spacing w:before="240" w:after="0"/>
        <w:jc w:val="left"/>
        <w:rPr>
          <w:rFonts w:ascii="Times New Roman" w:hAnsi="Times New Roman"/>
          <w:sz w:val="20"/>
        </w:rPr>
      </w:pPr>
      <w:r>
        <w:rPr>
          <w:rFonts w:ascii="Times New Roman" w:hAnsi="Times New Roman"/>
          <w:sz w:val="20"/>
        </w:rPr>
        <w:t xml:space="preserve">Amortized cost is reduced by impairment losses. Interest income, foreign exchange gains and losses as well as impairment losses are recognized in the consolidated statement of profit or loss. A gain or loss arising from derecognition is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74"/>
        <w:gridCol w:w="9231"/>
      </w:tblGrid>
      <w:tr>
        <w:trPr/>
        <w:tc>
          <w:tcPr>
            <w:tcW w:w="974" w:type="dxa"/>
            <w:tcBorders/>
          </w:tcPr>
          <w:p>
            <w:pPr>
              <w:pStyle w:val="TableContents"/>
              <w:bidi w:val="0"/>
              <w:spacing w:before="0" w:after="283"/>
              <w:jc w:val="left"/>
              <w:rPr>
                <w:b/>
              </w:rPr>
            </w:pPr>
            <w:r>
              <w:rPr>
                <w:b/>
              </w:rPr>
              <w:t>Financial</w:t>
            </w:r>
          </w:p>
        </w:tc>
        <w:tc>
          <w:tcPr>
            <w:tcW w:w="92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liabilities are classified and measured at amortized cost or at FVtPL. A financial liability is classified at FVtPL if it is classified as held for trading, is a derivative or is designated as such on initial recognition. </w:t>
      </w:r>
    </w:p>
    <w:p>
      <w:pPr>
        <w:pStyle w:val="TextBody"/>
        <w:bidi w:val="0"/>
        <w:spacing w:before="240" w:after="0"/>
        <w:jc w:val="left"/>
        <w:rPr>
          <w:rFonts w:ascii="Times New Roman" w:hAnsi="Times New Roman"/>
          <w:sz w:val="20"/>
        </w:rPr>
      </w:pPr>
      <w:r>
        <w:rPr>
          <w:rFonts w:ascii="Times New Roman" w:hAnsi="Times New Roman"/>
          <w:sz w:val="20"/>
        </w:rPr>
        <w:t xml:space="preserve">At initial recognition IQM assesses whether financial liabilities include any embedded derivatives and whether the embedded derivative must be bifurcated. This is the case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economic characteristics and risks of the embedded derivative are not closely related those of the host,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separate instrument with the same terms as the embedded derivative would meet the definition of a derivative,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 is not measured at FVtPL.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convertible loans the conversion option is analyzed to assess whether it represents an embedded derivative. IQM assesses each component of the loan agreements separately to determine whether separation is required. In this assessment, the closely related criterion is applied, i.e. whether the economic characteristics and risks of the conversion feature are closely related to those of the host debt contract. If the features are closely related, no separation is required; otherwise, the embedded derivative is separated and accounted for separately. </w:t>
      </w:r>
    </w:p>
    <w:p>
      <w:pPr>
        <w:pStyle w:val="TextBody"/>
        <w:bidi w:val="0"/>
        <w:spacing w:before="240" w:after="0"/>
        <w:jc w:val="left"/>
        <w:rPr>
          <w:rFonts w:ascii="Times New Roman" w:hAnsi="Times New Roman"/>
          <w:sz w:val="20"/>
        </w:rPr>
      </w:pPr>
      <w:r>
        <w:rPr>
          <w:rFonts w:ascii="Times New Roman" w:hAnsi="Times New Roman"/>
          <w:sz w:val="20"/>
        </w:rPr>
        <w:t xml:space="preserve">Other financial liabilities are subsequently measured at amortized cost using the effective interest method. Interest expenses and foreign currency translation effects are recognized in the consolidated statement of profit or loss. Gains or losses arising from derecognition are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51"/>
        <w:gridCol w:w="8754"/>
      </w:tblGrid>
      <w:tr>
        <w:trPr/>
        <w:tc>
          <w:tcPr>
            <w:tcW w:w="1451" w:type="dxa"/>
            <w:tcBorders/>
          </w:tcPr>
          <w:p>
            <w:pPr>
              <w:pStyle w:val="TableContents"/>
              <w:bidi w:val="0"/>
              <w:spacing w:before="0" w:after="283"/>
              <w:jc w:val="left"/>
              <w:rPr>
                <w:b/>
              </w:rPr>
            </w:pPr>
            <w:r>
              <w:rPr>
                <w:b/>
              </w:rPr>
              <w:t>Derecognition</w:t>
            </w:r>
          </w:p>
        </w:tc>
        <w:tc>
          <w:tcPr>
            <w:tcW w:w="8754" w:type="dxa"/>
            <w:tcBorders/>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derecognizes a financial asset when the contractual rights to receive the cashflows of an asset expire or it transfers the rights to receive the cashflows in a transaction in which substantially all the risks and rewards of ownership of the financial asset are transferred or in which the group neither transfers nor retains substantially all of the risks and rewards of ownership and it does not retain control of the financial asset. </w:t>
      </w:r>
    </w:p>
    <w:p>
      <w:pPr>
        <w:pStyle w:val="TextBody"/>
        <w:bidi w:val="0"/>
        <w:spacing w:before="240" w:after="0"/>
        <w:jc w:val="left"/>
        <w:rPr>
          <w:rFonts w:ascii="Times New Roman" w:hAnsi="Times New Roman"/>
          <w:sz w:val="20"/>
        </w:rPr>
      </w:pPr>
      <w:r>
        <w:rPr>
          <w:rFonts w:ascii="Times New Roman" w:hAnsi="Times New Roman"/>
          <w:sz w:val="20"/>
        </w:rPr>
        <w:t xml:space="preserve">Financial liabilities are derecognized when the contractual obligations are discharged, canceled or expire. The Group also derecognizes a financial liability if its contractual terms are changed, and the cashflows of the adjusted liability differ significantly. In this case a new financial liability based on the adjusted terms is recognized at fair value. </w:t>
      </w:r>
    </w:p>
    <w:p>
      <w:pPr>
        <w:pStyle w:val="TextBody"/>
        <w:bidi w:val="0"/>
        <w:spacing w:before="240" w:after="0"/>
        <w:jc w:val="left"/>
        <w:rPr>
          <w:rFonts w:ascii="Times New Roman" w:hAnsi="Times New Roman"/>
          <w:sz w:val="20"/>
        </w:rPr>
      </w:pPr>
      <w:r>
        <w:rPr>
          <w:rFonts w:ascii="Times New Roman" w:hAnsi="Times New Roman"/>
          <w:sz w:val="20"/>
        </w:rPr>
        <w:t xml:space="preserve">On derecognition of a financial asset or financial liability, the difference between the carrying amount of the settled asset or liability and the consideration paid (including transferred non-cash assets or assumed liabilities) is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tax expense comprises current and deferred taxes.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8"/>
        <w:gridCol w:w="9567"/>
      </w:tblGrid>
      <w:tr>
        <w:trPr/>
        <w:tc>
          <w:tcPr>
            <w:tcW w:w="638" w:type="dxa"/>
            <w:tcBorders/>
          </w:tcPr>
          <w:p>
            <w:pPr>
              <w:pStyle w:val="TableContents"/>
              <w:bidi w:val="0"/>
              <w:spacing w:before="0" w:after="283"/>
              <w:jc w:val="left"/>
              <w:rPr>
                <w:b/>
              </w:rPr>
            </w:pPr>
            <w:r>
              <w:rPr>
                <w:b/>
              </w:rPr>
              <w:t>2.12.1.</w:t>
            </w:r>
          </w:p>
        </w:tc>
        <w:tc>
          <w:tcPr>
            <w:tcW w:w="956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Current income tax asset /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current tax asset or liability comprises the expected tax receivable or payable on the taxable income or loss for the year and any adjustment to the tax payable or receivable in respect of previous years. The amount of current tax payable or receivable is the best estimate of the tax amount expected to be paid or received that reflects uncertainty related to income taxes, if any. The current tax payable or receivable is measured using tax rates enacted or substantively enacted at the reporting date in the countries where the Group operates and generates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Current tax assets and liabilities are offset if there is a legally enforceable right to offset current tax assets against current tax liabilities and the current taxes relate to the same taxable entity and the same tax authority.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7"/>
        <w:gridCol w:w="9578"/>
      </w:tblGrid>
      <w:tr>
        <w:trPr/>
        <w:tc>
          <w:tcPr>
            <w:tcW w:w="627" w:type="dxa"/>
            <w:tcBorders/>
          </w:tcPr>
          <w:p>
            <w:pPr>
              <w:pStyle w:val="TableContents"/>
              <w:bidi w:val="0"/>
              <w:spacing w:before="0" w:after="283"/>
              <w:jc w:val="left"/>
              <w:rPr>
                <w:b/>
              </w:rPr>
            </w:pPr>
            <w:r>
              <w:rPr>
                <w:b/>
              </w:rPr>
              <w:t>2.12.2.</w:t>
            </w:r>
          </w:p>
        </w:tc>
        <w:tc>
          <w:tcPr>
            <w:tcW w:w="95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Deferred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Applying the liability method of IAS 12, deferred taxes are calculated based on temporary differences between the tax and financial reporting valuation approaches including differences from consolidation, loss and interest carryforwards as well as tax credits. The calculation uses the tax rates that have been enacted or substantively enacted in the period when the asset is realized, or the liability is settled. The amount is calculated on the basis of the tax rates and tax laws applicable as of the reporting date or will be applicable in the near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tax liabilities are recognized for all taxable temporary differences,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asset or liability from a transaction which is not a business combination and at the date of the transaction affects neither the income (loss) for the period nor taxable profit (taxable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taxable temporary differences associated with investments in subsidiaries, associates, interests in joint ventures, where IQM is able to control the timing of the reversal of the temporary difference and it is probable that the temporary difference will not reverse in the foreseeable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 of deferred tax assets is reviewed at each reporting date and reduced to the extent that it is no longer likely that sufficient taxable earnings will be available against which the deferred tax asset could be offset. Deferred tax assets that are not recognized are reviewed at each reporting date and recognized to the extent to which it has become likely that future taxable earnings will permit the realization of the deferred tax asset. Each uncertain tax treatment is considered individually or together as a group, depending on which approach better predicted the resolution of the uncertainty. The entity uses either the most likely amount or the expected value method to measure such uncertainty. The decision is based on which method better predicts the resolution of the uncertainty. </w:t>
      </w:r>
    </w:p>
    <w:p>
      <w:pPr>
        <w:pStyle w:val="TextBody"/>
        <w:bidi w:val="0"/>
        <w:spacing w:before="240" w:after="0"/>
        <w:jc w:val="left"/>
        <w:rPr>
          <w:rFonts w:ascii="Times New Roman" w:hAnsi="Times New Roman"/>
          <w:sz w:val="20"/>
        </w:rPr>
      </w:pPr>
      <w:r>
        <w:rPr>
          <w:rFonts w:ascii="Times New Roman" w:hAnsi="Times New Roman"/>
          <w:sz w:val="20"/>
        </w:rPr>
        <w:t xml:space="preserve">Deferred taxes relating to items recognized directly in equity are also posted directly in equity. Deferred taxes are recognized either in other comprehensive income or directly in equity, depending on the underlying business transaction involved.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and liabilities are offset if there is a legally enforceable right to offset current taxes assets against current tax liabilities and the deferred taxes relate to the same taxable entity and the same taxation authority.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Government grants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Government grants are not recognized until there is reasonable assurance that the Group will comply with the conditions attached to the grants and that the grants will be received. </w:t>
      </w:r>
    </w:p>
    <w:p>
      <w:pPr>
        <w:pStyle w:val="TextBody"/>
        <w:bidi w:val="0"/>
        <w:spacing w:before="240" w:after="0"/>
        <w:jc w:val="left"/>
        <w:rPr>
          <w:rFonts w:ascii="Times New Roman" w:hAnsi="Times New Roman"/>
          <w:sz w:val="20"/>
        </w:rPr>
      </w:pPr>
      <w:r>
        <w:rPr>
          <w:rFonts w:ascii="Times New Roman" w:hAnsi="Times New Roman"/>
          <w:sz w:val="20"/>
        </w:rPr>
        <w:t xml:space="preserve">Government grants that are paid as compensation for expenses or losses already incurred or as immediate financial support without any future associated expenses are recognized in the consolidated statement of loss in the period in which the corresponding entitlement arises. </w:t>
      </w:r>
    </w:p>
    <w:p>
      <w:pPr>
        <w:pStyle w:val="TextBody"/>
        <w:bidi w:val="0"/>
        <w:spacing w:before="240" w:after="0"/>
        <w:jc w:val="left"/>
        <w:rPr>
          <w:rFonts w:ascii="Times New Roman" w:hAnsi="Times New Roman"/>
          <w:sz w:val="20"/>
        </w:rPr>
      </w:pPr>
      <w:r>
        <w:rPr>
          <w:rFonts w:ascii="Times New Roman" w:hAnsi="Times New Roman"/>
          <w:sz w:val="20"/>
        </w:rPr>
        <w:t xml:space="preserve">Grants that compensate the Group for expenses incurred are recognized in profit or loss as other income on a systematic basis in the periods in which the expenses are recognized, unless the conditions for receiving the grant are met after the related expenses have been recognized. In this case, the grant is recognized when it becomes receivable.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segments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operates as one operating segment. The Company’s chief operating decision maker (“CODM”) function is the Chief Executive Officer (CEO), who primarily reviews financial information for purposes of making operating decisions, assessing financial performance and allocating resources. The Company’s CODM evaluates financial information on a consolidated basis. Since the Group operates as a single operating segment the consolidated loss for the year is the measure of profit or loss used by the CODM to assess performance and allocate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b/>
              </w:rPr>
            </w:pPr>
            <w:r>
              <w:rPr>
                <w:b/>
              </w:rPr>
              <w:t>Revenue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by geographical areas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by geographical region can be found in the revenue recognition disclosures in Note </w:t>
      </w:r>
      <w:r>
        <w:rPr>
          <w:rFonts w:ascii="Times New Roman" w:hAnsi="Times New Roman"/>
          <w:sz w:val="20"/>
          <w:u w:val="single"/>
        </w:rPr>
        <w:t>4.1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12"/>
        <w:gridCol w:w="8893"/>
      </w:tblGrid>
      <w:tr>
        <w:trPr/>
        <w:tc>
          <w:tcPr>
            <w:tcW w:w="1312" w:type="dxa"/>
            <w:tcBorders/>
          </w:tcPr>
          <w:p>
            <w:pPr>
              <w:pStyle w:val="TableContents"/>
              <w:bidi w:val="0"/>
              <w:spacing w:before="0" w:after="283"/>
              <w:jc w:val="left"/>
              <w:rPr>
                <w:b/>
              </w:rPr>
            </w:pPr>
            <w:r>
              <w:rPr>
                <w:b/>
              </w:rPr>
              <w:t>Non-current</w:t>
            </w:r>
          </w:p>
        </w:tc>
        <w:tc>
          <w:tcPr>
            <w:tcW w:w="889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assets by geographical areas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total of non-current assets other than financial instruments and deferred tax assets, broken down by location of the assets, is shown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96"/>
        <w:gridCol w:w="509"/>
        <w:gridCol w:w="158"/>
        <w:gridCol w:w="1800"/>
        <w:gridCol w:w="60"/>
        <w:gridCol w:w="509"/>
        <w:gridCol w:w="158"/>
        <w:gridCol w:w="1800"/>
        <w:gridCol w:w="65"/>
      </w:tblGrid>
      <w:tr>
        <w:trPr/>
        <w:tc>
          <w:tcPr>
            <w:tcW w:w="269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9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Finland</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51,810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57,310</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 located in Germany</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17,977</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17,554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other countries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47</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b/>
              </w:rPr>
            </w:pPr>
            <w:r>
              <w:rPr>
                <w:b/>
              </w:rPr>
              <w:t>69,800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b/>
              </w:rPr>
            </w:pPr>
            <w:r>
              <w:rPr>
                <w:b/>
              </w:rPr>
              <w:t>74,911</w:t>
            </w:r>
          </w:p>
        </w:tc>
        <w:tc>
          <w:tcPr>
            <w:tcW w:w="65" w:type="dxa"/>
            <w:tcBorders/>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majority of non-current assets located in other countries is in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74"/>
        <w:gridCol w:w="8931"/>
      </w:tblGrid>
      <w:tr>
        <w:trPr/>
        <w:tc>
          <w:tcPr>
            <w:tcW w:w="1274" w:type="dxa"/>
            <w:tcBorders/>
          </w:tcPr>
          <w:p>
            <w:pPr>
              <w:pStyle w:val="TableContents"/>
              <w:bidi w:val="0"/>
              <w:spacing w:before="0" w:after="283"/>
              <w:jc w:val="left"/>
              <w:rPr>
                <w:b/>
              </w:rPr>
            </w:pPr>
            <w:r>
              <w:rPr>
                <w:b/>
              </w:rPr>
              <w:t>Information</w:t>
            </w:r>
          </w:p>
        </w:tc>
        <w:tc>
          <w:tcPr>
            <w:tcW w:w="89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about major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reporting period, the Group generated revenues from transactions with a limited number of major customers. Revenues from transactions with a single customer amounting to 10% or more of the Group’s total revenue are disclosed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1</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6,028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3,171</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Customer 2</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2,085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1,875</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3</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8,973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3,749</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Customer 4</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6,300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23,386</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8,794</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Disaggregation of 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disaggregates revenue by geographical area based on the country of domicile of the respective customer. External revenues are attributable to the following countries: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Finland</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11,473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3,749</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7,316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6,482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9,364</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Czech Republic</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2,085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1,875</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2,030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1,946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1,448</w:t>
            </w:r>
          </w:p>
        </w:tc>
        <w:tc>
          <w:tcPr>
            <w:tcW w:w="62" w:type="dxa"/>
            <w:tcBorders/>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31,333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16,436</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primarily generates revenue from quantum computer system sales, including co-development projects and professional services such as training, maintenance and technical support. Revenue from the sale of on-premises quantum computer systems amounted to EUR 30,588 thousand (2024: EUR 14,962 thousand), while revenue from professional services amounted to EUR 112 thousand (2024: EUR nil) and revenue from co-development projects amounted to EUR 349 thousand (2024: EUR 1,425 thousand). In addition, the Group generates revenue from cloud-based usage of IQM quantum computers. The revenue recognized from cloud-based usage amounted to EUR 284 thousand for the year 2025 (2024: 48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recognized over time corresponds to approximately 56% (2024: 92%) of total revenue whereas revenue recognized at point in time accounts for approximately 44% (2024: 8%) of total 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 balances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about trade receivables, contract assets net of an allowance for expected credit losses and contract liabilities from contracts with customers: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9"/>
        <w:gridCol w:w="464"/>
        <w:gridCol w:w="114"/>
        <w:gridCol w:w="1303"/>
        <w:gridCol w:w="155"/>
        <w:gridCol w:w="464"/>
        <w:gridCol w:w="122"/>
        <w:gridCol w:w="1296"/>
        <w:gridCol w:w="158"/>
      </w:tblGrid>
      <w:tr>
        <w:trPr/>
        <w:tc>
          <w:tcPr>
            <w:tcW w:w="3679"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7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64"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3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4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15,489</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2,056</w:t>
            </w:r>
          </w:p>
        </w:tc>
        <w:tc>
          <w:tcPr>
            <w:tcW w:w="158" w:type="dxa"/>
            <w:tcBorders/>
            <w:shd w:fill="CCEEFF" w:val="clear"/>
            <w:vAlign w:val="bottom"/>
          </w:tcPr>
          <w:p>
            <w:pPr>
              <w:pStyle w:val="TableContents"/>
              <w:bidi w:val="0"/>
              <w:spacing w:before="0" w:after="283"/>
              <w:jc w:val="left"/>
              <w:rPr/>
            </w:pPr>
            <w:r>
              <w:rPr/>
              <w:t> </w:t>
            </w:r>
          </w:p>
        </w:tc>
      </w:tr>
      <w:tr>
        <w:trPr/>
        <w:tc>
          <w:tcPr>
            <w:tcW w:w="367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4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7,286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1,022</w:t>
            </w:r>
          </w:p>
        </w:tc>
        <w:tc>
          <w:tcPr>
            <w:tcW w:w="158" w:type="dxa"/>
            <w:tcBorders/>
            <w:vAlign w:val="bottom"/>
          </w:tcPr>
          <w:p>
            <w:pPr>
              <w:pStyle w:val="TableContents"/>
              <w:bidi w:val="0"/>
              <w:spacing w:before="0" w:after="283"/>
              <w:jc w:val="left"/>
              <w:rPr/>
            </w:pPr>
            <w:r>
              <w:rPr/>
              <w:t> </w:t>
            </w:r>
          </w:p>
        </w:tc>
      </w:tr>
      <w:tr>
        <w:trPr/>
        <w:tc>
          <w:tcPr>
            <w:tcW w:w="3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(7,406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(5,172</w:t>
            </w:r>
          </w:p>
        </w:tc>
        <w:tc>
          <w:tcPr>
            <w:tcW w:w="158" w:type="dxa"/>
            <w:tcBorders/>
            <w:shd w:fill="CCEEFF" w:val="clear"/>
            <w:vAlign w:val="bottom"/>
          </w:tcPr>
          <w:p>
            <w:pPr>
              <w:pStyle w:val="TableContents"/>
              <w:bidi w:val="0"/>
              <w:spacing w:before="0" w:after="283"/>
              <w:jc w:val="left"/>
              <w:rPr/>
            </w:pPr>
            <w:r>
              <w:rPr/>
              <w:t>) </w:t>
            </w:r>
          </w:p>
        </w:tc>
      </w:tr>
      <w:tr>
        <w:trPr/>
        <w:tc>
          <w:tcPr>
            <w:tcW w:w="3679"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amount of EUR 5,172 thousand included in contract liabilities at December 31, 2024 has been recognized as revenue in 2025 (2024: EUR 7,015 thousand).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allocated to the remaining performance obligations are expected to be recognized within one year is EUR 32,987 thousand (2024: EUR 14,765 thousand) and more than one year is EUR 34,334 thousand (2024: EUR 15,367 thousand).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Order Backlog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Order Backlog as of December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year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30,132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11,417</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68,522</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35,150</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67,597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34,736</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389</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31,333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16,436</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30,700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14,962</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1,425</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year</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67,321</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30,132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Expenses by nature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36,095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27,370</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13,163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11,557</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external services</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9,505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5,533</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 recognized in respect of defined contribution plans represents the employer contributions and amounted to EUR 4,430 thousand for the year 2025 (2024: 3,965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operating income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3,359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3,853</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QPU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230</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lease termination</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213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3,945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4,130</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fiscal year 2020, the Group’s Finnish subsidiary received a loan granted by the Finnish Ministry of Finance to assist the Group with regard to the development of R&amp;D projects in the field of quantum computing. The Group recognizes the income from government grants as other operating income in the P&amp;L and does not offset them with the 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The Group received income by providing QPU chips and related equipment to counterparties for testing purposes over a contractually defined period. Income recognized during the year is presented within other operating income in the period in which it is earned, as it does not constitute revenue from ordinary activities of the Group.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Finance result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Finance result includes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Finance income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assets measured at amortized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1,911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15</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assets measured at FVTPL - net change in fair value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assets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38</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FVTPL - net change in fair value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liabilities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8,275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1,192</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10,220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1,246</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Finance expense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amortized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expenses from financial liabilities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532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700</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599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816</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 fees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4,389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expenses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511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258</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FVTPL - net change in fair value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Fair Value losses from financial liabilities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3,533</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expense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6,213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5,312</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5.4.1.</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Amounts recognized in profit or loss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375"/>
        <w:gridCol w:w="60"/>
        <w:gridCol w:w="457"/>
        <w:gridCol w:w="155"/>
        <w:gridCol w:w="375"/>
        <w:gridCol w:w="109"/>
        <w:gridCol w:w="408"/>
        <w:gridCol w:w="159"/>
      </w:tblGrid>
      <w:tr>
        <w:trPr/>
        <w:tc>
          <w:tcPr>
            <w:tcW w:w="565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75"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56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tax expense</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year:</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income tax</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tax expense</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b/>
              </w:rPr>
            </w:pPr>
            <w:r>
              <w:rPr>
                <w:b/>
              </w:rPr>
              <w:t>(277</w:t>
            </w:r>
          </w:p>
        </w:tc>
        <w:tc>
          <w:tcPr>
            <w:tcW w:w="155" w:type="dxa"/>
            <w:tcBorders/>
            <w:vAlign w:val="bottom"/>
          </w:tcPr>
          <w:p>
            <w:pPr>
              <w:pStyle w:val="TableContents"/>
              <w:bidi w:val="0"/>
              <w:spacing w:before="0" w:after="283"/>
              <w:jc w:val="left"/>
              <w:rPr>
                <w:b/>
              </w:rPr>
            </w:pPr>
            <w:r>
              <w:rPr>
                <w:b/>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b/>
              </w:rPr>
            </w:pPr>
            <w:r>
              <w:rPr>
                <w:b/>
              </w:rPr>
              <w:t>(1</w:t>
            </w:r>
          </w:p>
        </w:tc>
        <w:tc>
          <w:tcPr>
            <w:tcW w:w="159" w:type="dxa"/>
            <w:tcBorders/>
            <w:vAlign w:val="bottom"/>
          </w:tcPr>
          <w:p>
            <w:pPr>
              <w:pStyle w:val="TableContents"/>
              <w:bidi w:val="0"/>
              <w:spacing w:before="0" w:after="283"/>
              <w:jc w:val="left"/>
              <w:rPr>
                <w:b/>
              </w:rPr>
            </w:pPr>
            <w:r>
              <w:rPr>
                <w:b/>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Origination and reversal of temporary differences</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tax expense</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b/>
              </w:rPr>
            </w:pPr>
            <w:r>
              <w:rPr>
                <w:b/>
              </w:rPr>
              <w:t>(333</w:t>
            </w:r>
          </w:p>
        </w:tc>
        <w:tc>
          <w:tcPr>
            <w:tcW w:w="155" w:type="dxa"/>
            <w:tcBorders/>
            <w:vAlign w:val="bottom"/>
          </w:tcPr>
          <w:p>
            <w:pPr>
              <w:pStyle w:val="TableContents"/>
              <w:bidi w:val="0"/>
              <w:spacing w:before="0" w:after="283"/>
              <w:jc w:val="left"/>
              <w:rPr>
                <w:b/>
              </w:rPr>
            </w:pPr>
            <w:r>
              <w:rPr>
                <w:b/>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b/>
              </w:rPr>
            </w:pPr>
            <w:r>
              <w:rPr>
                <w:b/>
              </w:rPr>
              <w:t>(2</w:t>
            </w:r>
          </w:p>
        </w:tc>
        <w:tc>
          <w:tcPr>
            <w:tcW w:w="159" w:type="dxa"/>
            <w:tcBorders/>
            <w:vAlign w:val="bottom"/>
          </w:tcPr>
          <w:p>
            <w:pPr>
              <w:pStyle w:val="TableContents"/>
              <w:bidi w:val="0"/>
              <w:spacing w:before="0" w:after="283"/>
              <w:jc w:val="left"/>
              <w:rPr>
                <w:b/>
              </w:rPr>
            </w:pPr>
            <w:r>
              <w:rPr>
                <w:b/>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5.4.2. Amounts recognized directly in Equity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62"/>
        <w:gridCol w:w="381"/>
        <w:gridCol w:w="75"/>
        <w:gridCol w:w="427"/>
        <w:gridCol w:w="155"/>
        <w:gridCol w:w="381"/>
        <w:gridCol w:w="150"/>
        <w:gridCol w:w="361"/>
        <w:gridCol w:w="63"/>
      </w:tblGrid>
      <w:tr>
        <w:trPr/>
        <w:tc>
          <w:tcPr>
            <w:tcW w:w="5762"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6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81"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5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7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related to items recognized in Equity during the year:</w:t>
            </w:r>
          </w:p>
        </w:tc>
        <w:tc>
          <w:tcPr>
            <w:tcW w:w="3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income on equity issuance transaction cost</w:t>
            </w:r>
          </w:p>
        </w:tc>
        <w:tc>
          <w:tcPr>
            <w:tcW w:w="3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charged to Equity</w:t>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b/>
              </w:rPr>
            </w:pPr>
            <w:r>
              <w:rPr>
                <w:b/>
              </w:rPr>
              <w:t>(56</w:t>
            </w:r>
          </w:p>
        </w:tc>
        <w:tc>
          <w:tcPr>
            <w:tcW w:w="155" w:type="dxa"/>
            <w:tcBorders/>
            <w:vAlign w:val="bottom"/>
          </w:tcPr>
          <w:p>
            <w:pPr>
              <w:pStyle w:val="TableContents"/>
              <w:bidi w:val="0"/>
              <w:spacing w:before="0" w:after="283"/>
              <w:jc w:val="left"/>
              <w:rPr>
                <w:b/>
              </w:rPr>
            </w:pPr>
            <w:r>
              <w:rPr>
                <w:b/>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5.4.3. Income tax reconciliation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76"/>
        <w:gridCol w:w="244"/>
        <w:gridCol w:w="60"/>
        <w:gridCol w:w="878"/>
        <w:gridCol w:w="155"/>
        <w:gridCol w:w="244"/>
        <w:gridCol w:w="60"/>
        <w:gridCol w:w="878"/>
        <w:gridCol w:w="160"/>
      </w:tblGrid>
      <w:tr>
        <w:trPr/>
        <w:tc>
          <w:tcPr>
            <w:tcW w:w="5076"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7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before tax</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(54,056</w:t>
            </w:r>
          </w:p>
        </w:tc>
        <w:tc>
          <w:tcPr>
            <w:tcW w:w="155" w:type="dxa"/>
            <w:tcBorders/>
            <w:shd w:fill="CCEEFF" w:val="clear"/>
            <w:vAlign w:val="bottom"/>
          </w:tcPr>
          <w:p>
            <w:pPr>
              <w:pStyle w:val="TableContents"/>
              <w:bidi w:val="0"/>
              <w:spacing w:before="0" w:after="283"/>
              <w:jc w:val="left"/>
              <w:rPr>
                <w:b/>
              </w:rPr>
            </w:pPr>
            <w:r>
              <w:rPr>
                <w:b/>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(54,103</w:t>
            </w:r>
          </w:p>
        </w:tc>
        <w:tc>
          <w:tcPr>
            <w:tcW w:w="160" w:type="dxa"/>
            <w:tcBorders/>
            <w:shd w:fill="CCEEFF" w:val="clear"/>
            <w:vAlign w:val="bottom"/>
          </w:tcPr>
          <w:p>
            <w:pPr>
              <w:pStyle w:val="TableContents"/>
              <w:bidi w:val="0"/>
              <w:spacing w:before="0" w:after="283"/>
              <w:jc w:val="left"/>
              <w:rPr>
                <w:b/>
              </w:rPr>
            </w:pPr>
            <w:r>
              <w:rPr>
                <w:b/>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At the Group tax rate of 20.00%</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(10,811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(10,821</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Deviation arising from:</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Tax rate deviations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258</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(65</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993</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592</w:t>
            </w:r>
          </w:p>
        </w:tc>
        <w:tc>
          <w:tcPr>
            <w:tcW w:w="160" w:type="dxa"/>
            <w:tcBorders/>
            <w:shd w:fill="CCEEFF" w:val="clear"/>
            <w:vAlign w:val="bottom"/>
          </w:tcPr>
          <w:p>
            <w:pPr>
              <w:pStyle w:val="TableContents"/>
              <w:bidi w:val="0"/>
              <w:spacing w:before="0" w:after="283"/>
              <w:jc w:val="left"/>
              <w:rPr/>
            </w:pPr>
            <w:r>
              <w:rPr/>
              <w:t> </w:t>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Current-year losses for which no deferred tax asset is recognized</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9,837</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10,295</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income tax</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333</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2</w:t>
            </w:r>
          </w:p>
        </w:tc>
        <w:tc>
          <w:tcPr>
            <w:tcW w:w="160" w:type="dxa"/>
            <w:tcBorders/>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26 June 2025, the German parliament passed a tax reform introducing a gradual reduction of the corporate income tax rate by one percentage point per year starting in 2028. The rate will decrease from 15% to 10% by 2032. The law was approved by the Federal Council on 11 July 2025.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tax rate change, a one-off income of EUR 100 thousand was recognized from the recognition of a deferred tax asset. Due to the lack of recoverability, the amount was fully impaired in the same period.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and liabilities are measured using the tax rates expected to apply at the time the asset is realized or the liability is settled.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reflects the income and share data used in the basic and diluted EPS calculations: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6"/>
        <w:gridCol w:w="283"/>
        <w:gridCol w:w="60"/>
        <w:gridCol w:w="1249"/>
        <w:gridCol w:w="155"/>
        <w:gridCol w:w="283"/>
        <w:gridCol w:w="60"/>
        <w:gridCol w:w="1249"/>
        <w:gridCol w:w="160"/>
      </w:tblGrid>
      <w:tr>
        <w:trPr/>
        <w:tc>
          <w:tcPr>
            <w:tcW w:w="425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5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Earnings per share</w:t>
            </w:r>
          </w:p>
        </w:tc>
        <w:tc>
          <w:tcPr>
            <w:tcW w:w="283"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for the year (in EUR thousand) attributable to equity holders of the Company</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(54,389</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(54,105</w:t>
            </w:r>
          </w:p>
        </w:tc>
        <w:tc>
          <w:tcPr>
            <w:tcW w:w="160" w:type="dxa"/>
            <w:tcBorders/>
            <w:shd w:fill="CCEEFF" w:val="clear"/>
            <w:vAlign w:val="bottom"/>
          </w:tcPr>
          <w:p>
            <w:pPr>
              <w:pStyle w:val="TableContents"/>
              <w:bidi w:val="0"/>
              <w:spacing w:before="0" w:after="283"/>
              <w:jc w:val="left"/>
              <w:rPr/>
            </w:pPr>
            <w:r>
              <w:rPr/>
              <w:t>) </w:t>
            </w:r>
          </w:p>
        </w:tc>
      </w:tr>
      <w:tr>
        <w:trPr/>
        <w:tc>
          <w:tcPr>
            <w:tcW w:w="4256" w:type="dxa"/>
            <w:tcBorders/>
          </w:tcPr>
          <w:p>
            <w:pPr>
              <w:pStyle w:val="TableContents"/>
              <w:bidi w:val="0"/>
              <w:spacing w:before="0" w:after="0"/>
              <w:jc w:val="left"/>
              <w:rPr>
                <w:rFonts w:ascii="Times New Roman" w:hAnsi="Times New Roman"/>
                <w:sz w:val="20"/>
              </w:rPr>
            </w:pPr>
            <w:r>
              <w:rPr>
                <w:rFonts w:ascii="Times New Roman" w:hAnsi="Times New Roman"/>
                <w:sz w:val="20"/>
              </w:rPr>
              <w:t>Basic/Diluted weighted average number of ordinary shares outstanding</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30,534,489</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30,566,520</w:t>
            </w:r>
          </w:p>
        </w:tc>
        <w:tc>
          <w:tcPr>
            <w:tcW w:w="160" w:type="dxa"/>
            <w:tcBorders/>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Basic/Diluted loss per share (EUR/share) on total group</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b/>
              </w:rPr>
            </w:pPr>
            <w:r>
              <w:rPr>
                <w:b/>
              </w:rPr>
              <w:t>(1.78</w:t>
            </w:r>
          </w:p>
        </w:tc>
        <w:tc>
          <w:tcPr>
            <w:tcW w:w="155" w:type="dxa"/>
            <w:tcBorders/>
            <w:shd w:fill="CCEEFF" w:val="clear"/>
            <w:vAlign w:val="bottom"/>
          </w:tcPr>
          <w:p>
            <w:pPr>
              <w:pStyle w:val="TableContents"/>
              <w:bidi w:val="0"/>
              <w:spacing w:before="0" w:after="283"/>
              <w:jc w:val="left"/>
              <w:rPr>
                <w:b/>
              </w:rPr>
            </w:pPr>
            <w:r>
              <w:rPr>
                <w:b/>
              </w:rPr>
              <w:t>) </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b/>
              </w:rPr>
            </w:pPr>
            <w:r>
              <w:rPr>
                <w:b/>
              </w:rPr>
              <w:t>(1.77</w:t>
            </w:r>
          </w:p>
        </w:tc>
        <w:tc>
          <w:tcPr>
            <w:tcW w:w="160" w:type="dxa"/>
            <w:tcBorders/>
            <w:shd w:fill="CCEEFF" w:val="clear"/>
            <w:vAlign w:val="bottom"/>
          </w:tcPr>
          <w:p>
            <w:pPr>
              <w:pStyle w:val="TableContents"/>
              <w:bidi w:val="0"/>
              <w:spacing w:before="0" w:after="283"/>
              <w:jc w:val="left"/>
              <w:rPr>
                <w:b/>
              </w:rPr>
            </w:pPr>
            <w:r>
              <w:rPr>
                <w:b/>
              </w:rPr>
              <w:t>) </w:t>
            </w:r>
          </w:p>
        </w:tc>
      </w:tr>
      <w:tr>
        <w:trPr/>
        <w:tc>
          <w:tcPr>
            <w:tcW w:w="425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Diluted earnings per share (diluted EPS) reflects the effects of all potentially dilutive instruments outstanding during the reporting period. These include, in particular, exercisable share-based payment instruments (ESOPs), convertible debt instruments, preferred shares and outstanding warrants, as these instruments may result in the issuance of ordinary shares upon exercise or conversion. </w:t>
      </w:r>
    </w:p>
    <w:p>
      <w:pPr>
        <w:pStyle w:val="TextBody"/>
        <w:bidi w:val="0"/>
        <w:spacing w:before="240" w:after="0"/>
        <w:jc w:val="left"/>
        <w:rPr>
          <w:rFonts w:ascii="Times New Roman" w:hAnsi="Times New Roman"/>
          <w:sz w:val="20"/>
        </w:rPr>
      </w:pPr>
      <w:r>
        <w:rPr>
          <w:rFonts w:ascii="Times New Roman" w:hAnsi="Times New Roman"/>
          <w:sz w:val="20"/>
        </w:rPr>
        <w:t xml:space="preserve">The dilutive effect of share options and warrants, including Series B warrants is assessed using the treasury stock method, while convertible instruments, including convertible debt and convertible preferred shares, are assessed using the if-converted method. In this context, only instruments for which the vesting period has expired and that are exercisable at the reporting date would be included in the calculation if they were dilutive.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2"/>
        <w:gridCol w:w="236"/>
        <w:gridCol w:w="1556"/>
        <w:gridCol w:w="236"/>
        <w:gridCol w:w="60"/>
        <w:gridCol w:w="1236"/>
        <w:gridCol w:w="60"/>
        <w:gridCol w:w="236"/>
        <w:gridCol w:w="60"/>
        <w:gridCol w:w="1126"/>
        <w:gridCol w:w="64"/>
      </w:tblGrid>
      <w:tr>
        <w:trPr/>
        <w:tc>
          <w:tcPr>
            <w:tcW w:w="370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Instrument</w:t>
            </w:r>
          </w:p>
        </w:tc>
        <w:tc>
          <w:tcPr>
            <w:tcW w:w="236" w:type="dxa"/>
            <w:tcBorders/>
            <w:vAlign w:val="bottom"/>
          </w:tcPr>
          <w:p>
            <w:pPr>
              <w:pStyle w:val="TableContents"/>
              <w:bidi w:val="0"/>
              <w:spacing w:before="0" w:after="283"/>
              <w:jc w:val="left"/>
              <w:rPr/>
            </w:pPr>
            <w:r>
              <w:rPr/>
              <w:t>  </w:t>
            </w:r>
          </w:p>
        </w:tc>
        <w:tc>
          <w:tcPr>
            <w:tcW w:w="1556" w:type="dxa"/>
            <w:tcBorders>
              <w:bottom w:val="single" w:sz="8" w:space="0" w:color="000000"/>
            </w:tcBorders>
            <w:tcMar>
              <w:bottom w:w="28" w:type="dxa"/>
            </w:tcMar>
            <w:vAlign w:val="bottom"/>
          </w:tcPr>
          <w:p>
            <w:pPr>
              <w:pStyle w:val="TableContents"/>
              <w:bidi w:val="0"/>
              <w:spacing w:before="0" w:after="283"/>
              <w:jc w:val="center"/>
              <w:rPr>
                <w:b/>
              </w:rPr>
            </w:pPr>
            <w:r>
              <w:rPr>
                <w:b/>
              </w:rPr>
              <w:t>Method</w:t>
            </w:r>
          </w:p>
        </w:tc>
        <w:tc>
          <w:tcPr>
            <w:tcW w:w="2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 Series Seed</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28,072,681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28,072,681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 Series A1</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11,303,331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12,967,015</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 Series A2</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27,189,968</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29,536,735</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 Series B</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57,307,559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Preferred Shares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123,873,539</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70,576,431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Exercisable ESOP awards</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b/>
              </w:rPr>
            </w:pPr>
            <w:r>
              <w:rPr>
                <w:b/>
              </w:rPr>
              <w:t>Treasury stock</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b/>
              </w:rPr>
            </w:pPr>
            <w:r>
              <w:rPr>
                <w:b/>
              </w:rPr>
              <w:t>52,339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b/>
              </w:rPr>
            </w:pPr>
            <w:r>
              <w:rPr>
                <w:b/>
              </w:rPr>
              <w:t>25,286</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Warrants (equity-classified)</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Treasury stock</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4,155,786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Kreos Warrants (liability-classified)</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Treasury stock</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1,015,511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Warrants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5,171,297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 I (Aalto)</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1,272,234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1,272,234</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 II (Aalto)</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1,351,701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1,351,701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EIB Loan</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2,931,859</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Convertible Loans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2,623,935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5,555,794</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potential ordinary shares</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b/>
              </w:rPr>
            </w:pPr>
            <w:r>
              <w:rPr>
                <w:b/>
              </w:rPr>
              <w:t>131,721,110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b/>
              </w:rPr>
            </w:pPr>
            <w:r>
              <w:rPr>
                <w:b/>
              </w:rPr>
              <w:t>76,157,511</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the Group reported a net loss for the periods presented, the potential ordinary shares arising from ESOPs, convertible debt instruments and preferred shares were anti-dilutive and therefore excluded from the calculation of diluted EPS. Consequently, diluted earnings per share equals basic earnings per share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other transactions involving ordinary shares or potential ordinary shares between the reporting date and the date of authorization of these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Note 14 (Events after the reporting period), the weighted average number of ordinary shares for the current and comparative periods presented has been retrospectively adjusted to reflect the share split occurring after the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Non-financial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cost of patents remained unchanged at EUR 1,577 thousand as of December 31, 2025 (2024: EUR 1,577 thousand). No additions or disposals were recognized during the reporting periods. </w:t>
      </w:r>
    </w:p>
    <w:p>
      <w:pPr>
        <w:pStyle w:val="TextBody"/>
        <w:bidi w:val="0"/>
        <w:spacing w:before="240" w:after="0"/>
        <w:jc w:val="left"/>
        <w:rPr>
          <w:rFonts w:ascii="Times New Roman" w:hAnsi="Times New Roman"/>
          <w:sz w:val="20"/>
        </w:rPr>
      </w:pPr>
      <w:r>
        <w:rPr>
          <w:rFonts w:ascii="Times New Roman" w:hAnsi="Times New Roman"/>
          <w:sz w:val="20"/>
        </w:rPr>
        <w:t xml:space="preserve">Cumulative amortization and impairment losses amounted to EUR 657 thousand as of December 31, 2025 (2024: EUR 499 thousand). Amortization expense recognized during the financial year amounted to EUR 158 thousand (2024: EUR 158 thousand).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carrying amount of patents decreased to EUR 920 thousand as of December 31, 2025 (December 31, 2024: EUR 1,078 thousand; January 1, 2024: EUR 1,235 thousand). </w:t>
      </w:r>
    </w:p>
    <w:p>
      <w:pPr>
        <w:pStyle w:val="TextBody"/>
        <w:bidi w:val="0"/>
        <w:spacing w:before="240" w:after="0"/>
        <w:jc w:val="left"/>
        <w:rPr>
          <w:rFonts w:ascii="Times New Roman" w:hAnsi="Times New Roman"/>
          <w:sz w:val="20"/>
        </w:rPr>
      </w:pPr>
      <w:r>
        <w:rPr>
          <w:rFonts w:ascii="Times New Roman" w:hAnsi="Times New Roman"/>
          <w:sz w:val="20"/>
        </w:rPr>
        <w:t xml:space="preserve">In the fiscal years 2025 and 2024, no impairment losses were recognized.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1"/>
        <w:gridCol w:w="160"/>
        <w:gridCol w:w="100"/>
        <w:gridCol w:w="949"/>
        <w:gridCol w:w="60"/>
        <w:gridCol w:w="160"/>
        <w:gridCol w:w="91"/>
        <w:gridCol w:w="1063"/>
        <w:gridCol w:w="155"/>
        <w:gridCol w:w="109"/>
        <w:gridCol w:w="85"/>
        <w:gridCol w:w="975"/>
        <w:gridCol w:w="60"/>
        <w:gridCol w:w="159"/>
        <w:gridCol w:w="106"/>
        <w:gridCol w:w="995"/>
        <w:gridCol w:w="155"/>
        <w:gridCol w:w="109"/>
        <w:gridCol w:w="80"/>
        <w:gridCol w:w="928"/>
        <w:gridCol w:w="155"/>
        <w:gridCol w:w="109"/>
        <w:gridCol w:w="60"/>
        <w:gridCol w:w="697"/>
        <w:gridCol w:w="164"/>
      </w:tblGrid>
      <w:tr>
        <w:trPr/>
        <w:tc>
          <w:tcPr>
            <w:tcW w:w="2521"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0"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3,956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38,617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6,911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1,913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12,036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63,434</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8,489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2,881</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131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11,501</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(9</w:t>
            </w:r>
          </w:p>
        </w:tc>
        <w:tc>
          <w:tcPr>
            <w:tcW w:w="155"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(9</w:t>
            </w:r>
          </w:p>
        </w:tc>
        <w:tc>
          <w:tcPr>
            <w:tcW w:w="164" w:type="dxa"/>
            <w:tcBorders/>
            <w:vAlign w:val="bottom"/>
          </w:tcPr>
          <w:p>
            <w:pPr>
              <w:pStyle w:val="TableContents"/>
              <w:bidi w:val="0"/>
              <w:spacing w:before="0" w:after="283"/>
              <w:jc w:val="left"/>
              <w:rPr>
                <w:b/>
              </w:rPr>
            </w:pPr>
            <w:r>
              <w:rPr>
                <w:b/>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reclassifications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8,000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981</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(8,981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3,956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55,098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10,773</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2,044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3,055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74,926</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3,956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55,098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10,773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2,044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3,055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74,926</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6,175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4,545</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741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11,536</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(682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(542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(1,226</w:t>
            </w:r>
          </w:p>
        </w:tc>
        <w:tc>
          <w:tcPr>
            <w:tcW w:w="164" w:type="dxa"/>
            <w:tcBorders/>
            <w:shd w:fill="CCEEFF" w:val="clear"/>
            <w:vAlign w:val="bottom"/>
          </w:tcPr>
          <w:p>
            <w:pPr>
              <w:pStyle w:val="TableContents"/>
              <w:bidi w:val="0"/>
              <w:spacing w:before="0" w:after="283"/>
              <w:jc w:val="left"/>
              <w:rPr>
                <w:b/>
              </w:rPr>
            </w:pPr>
            <w:r>
              <w:rPr>
                <w:b/>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Other reclassifications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(1,046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(1,000</w:t>
            </w:r>
          </w:p>
        </w:tc>
        <w:tc>
          <w:tcPr>
            <w:tcW w:w="164" w:type="dxa"/>
            <w:tcBorders/>
            <w:vAlign w:val="bottom"/>
          </w:tcPr>
          <w:p>
            <w:pPr>
              <w:pStyle w:val="TableContents"/>
              <w:bidi w:val="0"/>
              <w:spacing w:before="0" w:after="283"/>
              <w:jc w:val="left"/>
              <w:rPr>
                <w:b/>
              </w:rPr>
            </w:pPr>
            <w:r>
              <w:rPr>
                <w:b/>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3,956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60,636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15,319</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2,116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2,209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84,236</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rHeight w:val="240" w:hRule="atLeast"/>
        </w:trPr>
        <w:tc>
          <w:tcPr>
            <w:tcW w:w="2521" w:type="dxa"/>
            <w:tcBorders/>
            <w:vAlign w:val="center"/>
          </w:tcPr>
          <w:p>
            <w:pPr>
              <w:pStyle w:val="TableContents"/>
              <w:bidi w:val="0"/>
              <w:spacing w:before="0" w:after="283"/>
              <w:jc w:val="left"/>
              <w:rPr>
                <w:sz w:val="4"/>
                <w:szCs w:val="4"/>
              </w:rPr>
            </w:pPr>
            <w:r>
              <w:rPr>
                <w:sz w:val="4"/>
                <w:szCs w:val="4"/>
              </w:rPr>
            </w:r>
          </w:p>
        </w:tc>
        <w:tc>
          <w:tcPr>
            <w:tcW w:w="1269" w:type="dxa"/>
            <w:gridSpan w:val="4"/>
            <w:tcBorders/>
            <w:vAlign w:val="center"/>
          </w:tcPr>
          <w:p>
            <w:pPr>
              <w:pStyle w:val="TableContents"/>
              <w:bidi w:val="0"/>
              <w:spacing w:before="0" w:after="283"/>
              <w:jc w:val="left"/>
              <w:rPr>
                <w:sz w:val="4"/>
                <w:szCs w:val="4"/>
              </w:rPr>
            </w:pPr>
            <w:r>
              <w:rPr>
                <w:sz w:val="4"/>
                <w:szCs w:val="4"/>
              </w:rPr>
            </w:r>
          </w:p>
        </w:tc>
        <w:tc>
          <w:tcPr>
            <w:tcW w:w="1469"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030" w:type="dxa"/>
            <w:gridSpan w:val="4"/>
            <w:tcBorders/>
            <w:vAlign w:val="center"/>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0"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Cumulative depreciation and impairment losses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198</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6,127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773</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613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7,710</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396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5,934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7,423</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593</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12,061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1,517</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963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15,134</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593</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12,061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1,517</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963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15,134</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396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7,283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1,372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466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9,516</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1,655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1,655</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989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19,344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2,888</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1,429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1,655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26,305</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76"/>
        <w:gridCol w:w="167"/>
        <w:gridCol w:w="100"/>
        <w:gridCol w:w="941"/>
        <w:gridCol w:w="60"/>
        <w:gridCol w:w="167"/>
        <w:gridCol w:w="91"/>
        <w:gridCol w:w="1057"/>
        <w:gridCol w:w="60"/>
        <w:gridCol w:w="167"/>
        <w:gridCol w:w="85"/>
        <w:gridCol w:w="1001"/>
        <w:gridCol w:w="60"/>
        <w:gridCol w:w="166"/>
        <w:gridCol w:w="106"/>
        <w:gridCol w:w="1020"/>
        <w:gridCol w:w="60"/>
        <w:gridCol w:w="167"/>
        <w:gridCol w:w="80"/>
        <w:gridCol w:w="921"/>
        <w:gridCol w:w="60"/>
        <w:gridCol w:w="167"/>
        <w:gridCol w:w="60"/>
        <w:gridCol w:w="694"/>
        <w:gridCol w:w="72"/>
      </w:tblGrid>
      <w:tr>
        <w:trPr/>
        <w:tc>
          <w:tcPr>
            <w:tcW w:w="267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67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7"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2" w:type="dxa"/>
            <w:tcBorders/>
            <w:vAlign w:val="bottom"/>
          </w:tcPr>
          <w:p>
            <w:pPr>
              <w:pStyle w:val="TableContents"/>
              <w:bidi w:val="0"/>
              <w:spacing w:before="0" w:after="283"/>
              <w:jc w:val="left"/>
              <w:rPr/>
            </w:pPr>
            <w:r>
              <w:rPr/>
              <w:t> </w:t>
            </w:r>
          </w:p>
        </w:tc>
      </w:tr>
      <w:tr>
        <w:trPr/>
        <w:tc>
          <w:tcPr>
            <w:tcW w:w="26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Carrying amount</w:t>
            </w:r>
          </w:p>
        </w:tc>
        <w:tc>
          <w:tcPr>
            <w:tcW w:w="16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6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 of January 1, 2024</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b/>
              </w:rPr>
            </w:pPr>
            <w:r>
              <w:rPr>
                <w:b/>
              </w:rPr>
              <w:t>3,759</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32,491</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b/>
              </w:rPr>
            </w:pPr>
            <w:r>
              <w:rPr>
                <w:b/>
              </w:rPr>
              <w:t>6,139</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b/>
              </w:rPr>
            </w:pPr>
            <w:r>
              <w:rPr>
                <w:b/>
              </w:rPr>
              <w:t>1,300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12,036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55,723</w:t>
            </w:r>
          </w:p>
        </w:tc>
        <w:tc>
          <w:tcPr>
            <w:tcW w:w="72" w:type="dxa"/>
            <w:tcBorders/>
            <w:vAlign w:val="bottom"/>
          </w:tcPr>
          <w:p>
            <w:pPr>
              <w:pStyle w:val="TableContents"/>
              <w:bidi w:val="0"/>
              <w:spacing w:before="0" w:after="283"/>
              <w:jc w:val="left"/>
              <w:rPr/>
            </w:pPr>
            <w:r>
              <w:rPr/>
              <w:t> </w:t>
            </w:r>
          </w:p>
        </w:tc>
      </w:tr>
      <w:tr>
        <w:trPr/>
        <w:tc>
          <w:tcPr>
            <w:tcW w:w="26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As of December 31, 2024</w:t>
            </w:r>
          </w:p>
        </w:tc>
        <w:tc>
          <w:tcPr>
            <w:tcW w:w="16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b/>
              </w:rPr>
            </w:pPr>
            <w:r>
              <w:rPr>
                <w:b/>
              </w:rPr>
              <w:t>3,363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b/>
              </w:rPr>
            </w:pPr>
            <w:r>
              <w:rPr>
                <w:b/>
              </w:rPr>
              <w:t>43,037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b/>
              </w:rPr>
            </w:pPr>
            <w:r>
              <w:rPr>
                <w:b/>
              </w:rPr>
              <w:t>9,257</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b/>
              </w:rPr>
            </w:pPr>
            <w:r>
              <w:rPr>
                <w:b/>
              </w:rPr>
              <w:t>1,081</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3,055</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59,792</w:t>
            </w:r>
          </w:p>
        </w:tc>
        <w:tc>
          <w:tcPr>
            <w:tcW w:w="72" w:type="dxa"/>
            <w:tcBorders/>
            <w:shd w:fill="CCEEFF" w:val="clear"/>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b/>
              </w:rPr>
            </w:pPr>
            <w:r>
              <w:rPr>
                <w:b/>
              </w:rPr>
              <w:t>2,967</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41,292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b/>
              </w:rPr>
            </w:pPr>
            <w:r>
              <w:rPr>
                <w:b/>
              </w:rPr>
              <w:t>12,430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b/>
              </w:rPr>
            </w:pPr>
            <w:r>
              <w:rPr>
                <w:b/>
              </w:rPr>
              <w:t>688</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554</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57,931</w:t>
            </w:r>
          </w:p>
        </w:tc>
        <w:tc>
          <w:tcPr>
            <w:tcW w:w="72" w:type="dxa"/>
            <w:tcBorders/>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 write down of EUR 1,655 thousand to the lower of its carrying amount and its fair value less cost to sell was recognized in other operating expense. The asset was reclassified from advance payments on property, plant and equipment to other current assets. </w:t>
      </w:r>
    </w:p>
    <w:p>
      <w:pPr>
        <w:pStyle w:val="TextBody"/>
        <w:bidi w:val="0"/>
        <w:spacing w:before="240" w:after="0"/>
        <w:jc w:val="left"/>
        <w:rPr>
          <w:rFonts w:ascii="Times New Roman" w:hAnsi="Times New Roman"/>
          <w:sz w:val="20"/>
        </w:rPr>
      </w:pPr>
      <w:r>
        <w:rPr>
          <w:rFonts w:ascii="Times New Roman" w:hAnsi="Times New Roman"/>
          <w:sz w:val="20"/>
        </w:rPr>
        <w:t xml:space="preserve">At 31 December 2025, the Group had commitments of EUR 7,700 thousands in respect of purchase orders for property, plant and equipment.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tcPr>
          <w:p>
            <w:pPr>
              <w:pStyle w:val="TableContents"/>
              <w:bidi w:val="0"/>
              <w:spacing w:before="0" w:after="283"/>
              <w:jc w:val="left"/>
              <w:rPr>
                <w:b/>
              </w:rPr>
            </w:pPr>
            <w:r>
              <w:rPr>
                <w:b/>
              </w:rPr>
              <w:t>6.3.1.</w:t>
            </w:r>
          </w:p>
        </w:tc>
        <w:tc>
          <w:tcPr>
            <w:tcW w:w="970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IQM as lessee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Right-of-use assets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discloses the carrying amounts of the lease contracts accounted for as right-of-use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16"/>
        <w:gridCol w:w="484"/>
        <w:gridCol w:w="114"/>
        <w:gridCol w:w="1310"/>
        <w:gridCol w:w="60"/>
        <w:gridCol w:w="484"/>
        <w:gridCol w:w="114"/>
        <w:gridCol w:w="1310"/>
        <w:gridCol w:w="63"/>
      </w:tblGrid>
      <w:tr>
        <w:trPr/>
        <w:tc>
          <w:tcPr>
            <w:tcW w:w="3816"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10,935</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10,655</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3,357</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b/>
              </w:rPr>
            </w:pPr>
            <w:r>
              <w:rPr>
                <w:b/>
              </w:rPr>
              <w:t>10,949</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b/>
              </w:rPr>
            </w:pPr>
            <w:r>
              <w:rPr>
                <w:b/>
              </w:rPr>
              <w:t>14,041</w:t>
            </w:r>
          </w:p>
        </w:tc>
        <w:tc>
          <w:tcPr>
            <w:tcW w:w="63" w:type="dxa"/>
            <w:tcBorders/>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6"/>
        <w:gridCol w:w="576"/>
        <w:gridCol w:w="136"/>
        <w:gridCol w:w="1287"/>
        <w:gridCol w:w="60"/>
        <w:gridCol w:w="576"/>
        <w:gridCol w:w="192"/>
        <w:gridCol w:w="1238"/>
        <w:gridCol w:w="64"/>
      </w:tblGrid>
      <w:tr>
        <w:trPr/>
        <w:tc>
          <w:tcPr>
            <w:tcW w:w="3626" w:type="dxa"/>
            <w:tcBorders/>
            <w:vAlign w:val="center"/>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7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7,138</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7,138</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 Building and structures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7,138</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tcPr>
          <w:p>
            <w:pPr>
              <w:pStyle w:val="TableContents"/>
              <w:bidi w:val="0"/>
              <w:spacing w:before="0" w:after="0"/>
              <w:jc w:val="left"/>
              <w:rPr>
                <w:rFonts w:ascii="Times New Roman" w:hAnsi="Times New Roman"/>
                <w:sz w:val="20"/>
              </w:rPr>
            </w:pPr>
            <w:r>
              <w:rPr>
                <w:rFonts w:ascii="Times New Roman" w:hAnsi="Times New Roman"/>
                <w:sz w:val="20"/>
              </w:rPr>
              <w:t>Additions - Vehicles</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 Other assets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7,138</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new contracts were signed in 2025 that commence in 2026. </w:t>
      </w:r>
    </w:p>
    <w:p>
      <w:pPr>
        <w:pStyle w:val="TextBody"/>
        <w:bidi w:val="0"/>
        <w:spacing w:before="360" w:after="0"/>
        <w:jc w:val="left"/>
        <w:rPr>
          <w:rFonts w:ascii="Times New Roman" w:hAnsi="Times New Roman"/>
          <w:b/>
          <w:sz w:val="20"/>
        </w:rPr>
      </w:pPr>
      <w:r>
        <w:rPr>
          <w:rFonts w:ascii="Times New Roman" w:hAnsi="Times New Roman"/>
          <w:b/>
          <w:sz w:val="20"/>
        </w:rPr>
        <w:t xml:space="preserve">Depreciation of right-of-use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2,229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2,251</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1,241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1,697</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3,489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3,976</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Lease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16"/>
        <w:gridCol w:w="484"/>
        <w:gridCol w:w="114"/>
        <w:gridCol w:w="1310"/>
        <w:gridCol w:w="60"/>
        <w:gridCol w:w="484"/>
        <w:gridCol w:w="114"/>
        <w:gridCol w:w="1310"/>
        <w:gridCol w:w="63"/>
      </w:tblGrid>
      <w:tr>
        <w:trPr/>
        <w:tc>
          <w:tcPr>
            <w:tcW w:w="3816"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2,475</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2,776</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12,185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14,427</w:t>
            </w:r>
          </w:p>
        </w:tc>
        <w:tc>
          <w:tcPr>
            <w:tcW w:w="63" w:type="dxa"/>
            <w:tcBorders/>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b/>
              </w:rPr>
            </w:pPr>
            <w:r>
              <w:rPr>
                <w:b/>
              </w:rPr>
              <w:t>14,660</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b/>
              </w:rPr>
            </w:pPr>
            <w:r>
              <w:rPr>
                <w:b/>
              </w:rPr>
              <w:t>17,204</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information on the maturity analysis of the lease liability, refer to Note </w:t>
      </w:r>
      <w:r>
        <w:rPr>
          <w:rFonts w:ascii="Times New Roman" w:hAnsi="Times New Roman"/>
          <w:sz w:val="20"/>
          <w:u w:val="single"/>
        </w:rPr>
        <w:t>9.2.2</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Other amounts recognized in the consolidated statement of profit or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73"/>
        <w:gridCol w:w="320"/>
        <w:gridCol w:w="68"/>
        <w:gridCol w:w="441"/>
        <w:gridCol w:w="60"/>
        <w:gridCol w:w="320"/>
        <w:gridCol w:w="68"/>
        <w:gridCol w:w="441"/>
        <w:gridCol w:w="64"/>
      </w:tblGrid>
      <w:tr>
        <w:trPr/>
        <w:tc>
          <w:tcPr>
            <w:tcW w:w="5973"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7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0" w:type="dxa"/>
            <w:tcBorders/>
            <w:vAlign w:val="bottom"/>
          </w:tcPr>
          <w:p>
            <w:pPr>
              <w:pStyle w:val="TableContents"/>
              <w:bidi w:val="0"/>
              <w:spacing w:before="0" w:after="283"/>
              <w:jc w:val="left"/>
              <w:rPr/>
            </w:pPr>
            <w:r>
              <w:rPr/>
              <w:t>  </w:t>
            </w:r>
          </w:p>
        </w:tc>
        <w:tc>
          <w:tcPr>
            <w:tcW w:w="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599</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816</w:t>
            </w:r>
          </w:p>
        </w:tc>
        <w:tc>
          <w:tcPr>
            <w:tcW w:w="64" w:type="dxa"/>
            <w:tcBorders/>
            <w:shd w:fill="CCEEFF" w:val="clear"/>
            <w:vAlign w:val="bottom"/>
          </w:tcPr>
          <w:p>
            <w:pPr>
              <w:pStyle w:val="TableContents"/>
              <w:bidi w:val="0"/>
              <w:spacing w:before="0" w:after="283"/>
              <w:jc w:val="left"/>
              <w:rPr/>
            </w:pPr>
            <w:r>
              <w:rPr/>
              <w:t> </w:t>
            </w:r>
          </w:p>
        </w:tc>
      </w:tr>
      <w:tr>
        <w:trPr/>
        <w:tc>
          <w:tcPr>
            <w:tcW w:w="5973" w:type="dxa"/>
            <w:tcBorders/>
          </w:tcPr>
          <w:p>
            <w:pPr>
              <w:pStyle w:val="TableContents"/>
              <w:bidi w:val="0"/>
              <w:spacing w:before="0" w:after="0"/>
              <w:jc w:val="left"/>
              <w:rPr>
                <w:rFonts w:ascii="Times New Roman" w:hAnsi="Times New Roman"/>
                <w:sz w:val="20"/>
              </w:rPr>
            </w:pPr>
            <w:r>
              <w:rPr>
                <w:rFonts w:ascii="Times New Roman" w:hAnsi="Times New Roman"/>
                <w:sz w:val="20"/>
              </w:rPr>
              <w:t>Expenses for short-term leases</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97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b/>
              </w:rPr>
            </w:pPr>
            <w:r>
              <w:rPr>
                <w:b/>
              </w:rPr>
              <w:t>658</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b/>
              </w:rPr>
            </w:pPr>
            <w:r>
              <w:rPr>
                <w:b/>
              </w:rPr>
              <w:t>816</w:t>
            </w:r>
          </w:p>
        </w:tc>
        <w:tc>
          <w:tcPr>
            <w:tcW w:w="64" w:type="dxa"/>
            <w:tcBorders/>
            <w:shd w:fill="CCEEFF" w:val="clear"/>
            <w:vAlign w:val="bottom"/>
          </w:tcPr>
          <w:p>
            <w:pPr>
              <w:pStyle w:val="TableContents"/>
              <w:bidi w:val="0"/>
              <w:spacing w:before="0" w:after="283"/>
              <w:jc w:val="left"/>
              <w:rPr/>
            </w:pPr>
            <w:r>
              <w:rPr/>
              <w:t> </w:t>
            </w:r>
          </w:p>
        </w:tc>
      </w:tr>
      <w:tr>
        <w:trPr/>
        <w:tc>
          <w:tcPr>
            <w:tcW w:w="597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Total cash outflow for lease payments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outflow</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4,150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4,331</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4,150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4,331</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 and consumables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12,218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4,945</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1,274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706</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13,491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5,651</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2025, inventories of EUR 12,036 thousand (2024: 5,074 thousand) were recognized as an expense during the year and included in cost of 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assets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7"/>
        <w:gridCol w:w="522"/>
        <w:gridCol w:w="114"/>
        <w:gridCol w:w="1305"/>
        <w:gridCol w:w="60"/>
        <w:gridCol w:w="522"/>
        <w:gridCol w:w="136"/>
        <w:gridCol w:w="1287"/>
        <w:gridCol w:w="62"/>
      </w:tblGrid>
      <w:tr>
        <w:trPr/>
        <w:tc>
          <w:tcPr>
            <w:tcW w:w="3747"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74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2"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VAT and sales tax receivables</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3,504</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515</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Grants receivable</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1,955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1,935</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1,623</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Deferred financing fees</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refund</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Advance payments for inventories</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962</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2,545</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416</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152</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7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b/>
              </w:rPr>
            </w:pPr>
            <w:r>
              <w:rPr>
                <w:b/>
              </w:rPr>
              <w:t>11,217</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4,874</w:t>
            </w:r>
          </w:p>
        </w:tc>
        <w:tc>
          <w:tcPr>
            <w:tcW w:w="62" w:type="dxa"/>
            <w:tcBorders/>
            <w:vAlign w:val="bottom"/>
          </w:tcPr>
          <w:p>
            <w:pPr>
              <w:pStyle w:val="TableContents"/>
              <w:bidi w:val="0"/>
              <w:spacing w:before="0" w:after="283"/>
              <w:jc w:val="left"/>
              <w:rPr/>
            </w:pPr>
            <w:r>
              <w:rPr/>
              <w:t> </w:t>
            </w:r>
          </w:p>
        </w:tc>
      </w:tr>
      <w:tr>
        <w:trPr/>
        <w:tc>
          <w:tcPr>
            <w:tcW w:w="3747"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financing fees amounting to EUR 1,445 thousand as at December 31, 2025 relate to the transaction costs of the Kreos Loan. For detailed information on Kreos Loan terms, refer to Note </w:t>
      </w:r>
      <w:r>
        <w:rPr>
          <w:rFonts w:ascii="Times New Roman" w:hAnsi="Times New Roman"/>
          <w:sz w:val="20"/>
          <w:u w:val="single"/>
        </w:rPr>
        <w:t>8.5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 hardware refund asset of EUR 1,000 thousand was recognized for an agreed buyback of a property, plant and equipment item that had not been fully transferred and was previously presented as advance payments on PPE. The asset was measured at the expected reimbursement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Employee benefit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54"/>
        <w:gridCol w:w="516"/>
        <w:gridCol w:w="136"/>
        <w:gridCol w:w="1287"/>
        <w:gridCol w:w="60"/>
        <w:gridCol w:w="516"/>
        <w:gridCol w:w="136"/>
        <w:gridCol w:w="1287"/>
        <w:gridCol w:w="63"/>
      </w:tblGrid>
      <w:tr>
        <w:trPr/>
        <w:tc>
          <w:tcPr>
            <w:tcW w:w="3754"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5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1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for vacation</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3,213</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2,533</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for bonus</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2,105</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1,091</w:t>
            </w:r>
          </w:p>
        </w:tc>
        <w:tc>
          <w:tcPr>
            <w:tcW w:w="63" w:type="dxa"/>
            <w:tcBorders/>
            <w:vAlign w:val="bottom"/>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for personnel expenses</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415</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377</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190</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3754"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5,922</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4,015</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line item Other includes a non-material defined benefit obligation in accordance with IAS 19 amounting to EUR 14 thousand as at December 31, 2025 (December 31, 2024: EUR 14 thousand).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has implemented Employee Stock Ownership Plan (ESOP) to provide long-term incentives to its employees &amp; selected service providers. The program was initiated in 2019 and grants share options that entitle participants to acquire IQM shares upon exercise. </w:t>
      </w:r>
    </w:p>
    <w:p>
      <w:pPr>
        <w:pStyle w:val="TextBody"/>
        <w:bidi w:val="0"/>
        <w:spacing w:before="240" w:after="0"/>
        <w:jc w:val="left"/>
        <w:rPr>
          <w:rFonts w:ascii="Times New Roman" w:hAnsi="Times New Roman"/>
          <w:sz w:val="20"/>
        </w:rPr>
      </w:pPr>
      <w:r>
        <w:rPr>
          <w:rFonts w:ascii="Times New Roman" w:hAnsi="Times New Roman"/>
          <w:sz w:val="20"/>
        </w:rPr>
        <w:t xml:space="preserve">The share options are subject to graded vesting: 25% vest one year after the grant date, with the remaining 75% vesting in equal monthly installments (1/48th) over the following three years. Full vesting is conditional upon continuous employment with IQM throughout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options become exercisable four years after the grant date and can be exercised at latest 14 years after begin of the subscription period. </w:t>
      </w:r>
    </w:p>
    <w:p>
      <w:pPr>
        <w:pStyle w:val="TextBody"/>
        <w:bidi w:val="0"/>
        <w:spacing w:before="240" w:after="0"/>
        <w:jc w:val="left"/>
        <w:rPr>
          <w:rFonts w:ascii="Times New Roman" w:hAnsi="Times New Roman"/>
          <w:sz w:val="20"/>
        </w:rPr>
      </w:pPr>
      <w:r>
        <w:rPr>
          <w:rFonts w:ascii="Times New Roman" w:hAnsi="Times New Roman"/>
          <w:sz w:val="20"/>
        </w:rPr>
        <w:t xml:space="preserve">As of the reporting date, 146,593 share options were outstanding (2024: 121,346), with a weighted average remaining contractual life of 12.82 years (2024: 12.77 years) and a weighted average fair value of EUR 181.67 per option (2024: EUR 125.39). Of the outstanding options 1,652 (2024: 1,652) were granted to external service providers.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33"/>
        <w:gridCol w:w="60"/>
        <w:gridCol w:w="134"/>
        <w:gridCol w:w="1791"/>
        <w:gridCol w:w="155"/>
        <w:gridCol w:w="60"/>
        <w:gridCol w:w="151"/>
        <w:gridCol w:w="1714"/>
        <w:gridCol w:w="60"/>
        <w:gridCol w:w="60"/>
        <w:gridCol w:w="134"/>
        <w:gridCol w:w="1791"/>
        <w:gridCol w:w="155"/>
        <w:gridCol w:w="60"/>
        <w:gridCol w:w="150"/>
        <w:gridCol w:w="1714"/>
        <w:gridCol w:w="66"/>
      </w:tblGrid>
      <w:tr>
        <w:trPr/>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6" w:type="dxa"/>
            <w:tcBorders/>
            <w:vAlign w:val="bottom"/>
          </w:tcPr>
          <w:p>
            <w:pPr>
              <w:pStyle w:val="TableContents"/>
              <w:bidi w:val="0"/>
              <w:spacing w:before="0" w:after="283"/>
              <w:jc w:val="left"/>
              <w:rPr/>
            </w:pPr>
            <w:r>
              <w:rPr/>
              <w:t> </w:t>
            </w:r>
          </w:p>
        </w:tc>
      </w:tr>
      <w:tr>
        <w:trPr/>
        <w:tc>
          <w:tcPr>
            <w:tcW w:w="11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at 1 January</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121,346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289.35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104,694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254.05</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34,300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439.40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31,000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410.94</w:t>
            </w:r>
          </w:p>
        </w:tc>
        <w:tc>
          <w:tcPr>
            <w:tcW w:w="66" w:type="dxa"/>
            <w:tcBorders/>
            <w:vAlign w:val="bottom"/>
          </w:tcPr>
          <w:p>
            <w:pPr>
              <w:pStyle w:val="TableContents"/>
              <w:bidi w:val="0"/>
              <w:spacing w:before="0" w:after="283"/>
              <w:jc w:val="left"/>
              <w:rPr/>
            </w:pPr>
            <w:r>
              <w:rPr/>
              <w:t> </w:t>
            </w:r>
          </w:p>
        </w:tc>
      </w:tr>
      <w:tr>
        <w:trPr/>
        <w:tc>
          <w:tcPr>
            <w:tcW w:w="1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year</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sz w:val="20"/>
              </w:rPr>
            </w:pPr>
            <w:r>
              <w:rPr>
                <w:rFonts w:ascii="Times New Roman" w:hAnsi="Times New Roman"/>
                <w:sz w:val="20"/>
              </w:rPr>
              <w:t>Forfeited during the year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(9,053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286.67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(14,348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270.33</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at 31 December</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146,593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325.91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121,346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289.35</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i/>
                <w:sz w:val="20"/>
              </w:rPr>
            </w:pPr>
            <w:r>
              <w:rPr>
                <w:rFonts w:ascii="Times New Roman" w:hAnsi="Times New Roman"/>
                <w:i/>
                <w:sz w:val="20"/>
              </w:rPr>
              <w:t>Vested and exercisable at 31 December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i/>
              </w:rPr>
            </w:pPr>
            <w:r>
              <w:rPr>
                <w:i/>
              </w:rPr>
              <w:t>52,339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i/>
              </w:rPr>
            </w:pPr>
            <w:r>
              <w:rPr>
                <w:i/>
              </w:rPr>
              <w:t>175.68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i/>
              </w:rPr>
            </w:pPr>
            <w:r>
              <w:rPr>
                <w:i/>
              </w:rPr>
              <w:t>25,286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i/>
              </w:rPr>
            </w:pPr>
            <w:r>
              <w:rPr>
                <w:i/>
              </w:rPr>
              <w:t>38.65</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ESOP is classified as an equity-settled share-based payment transaction in accordance with IFRS 2, as it is settled in equity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share options is determined using a Black-Scholes option pricing model. In accordance with IFRS 2, service conditions are not considered in the fair value measurement but are reflected in the recognition of the expense over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grants is only measured at grant date and is recorded over the vesting period in profit and loss and the capital 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parameters were used as basis for the fair value measurement in the reporting periods: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1"/>
        <w:gridCol w:w="305"/>
        <w:gridCol w:w="60"/>
        <w:gridCol w:w="1886"/>
        <w:gridCol w:w="275"/>
        <w:gridCol w:w="220"/>
        <w:gridCol w:w="60"/>
        <w:gridCol w:w="1760"/>
        <w:gridCol w:w="278"/>
      </w:tblGrid>
      <w:tr>
        <w:trPr/>
        <w:tc>
          <w:tcPr>
            <w:tcW w:w="291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at grant date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296.97 - 474.85</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187.62 - 297.37</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at grant date</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410.94 - 474.86</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410.94</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410.94 - 474.86</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410.94</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101,16% - 128,19</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56,97% - 106,33</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life (years)</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4.00</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4.00</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0.00</w:t>
            </w:r>
          </w:p>
        </w:tc>
        <w:tc>
          <w:tcPr>
            <w:tcW w:w="278"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8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2,11% - 2,17%</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1,98% - 2,52%</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8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Expected volatility has been based on an evaluation of the historical volatility of peer companies, particularly over the historical period commensurate with the expected term. The expected term of the instruments has been based on the expected transaction date and general option holder behavior.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1"/>
        <w:gridCol w:w="480"/>
        <w:gridCol w:w="103"/>
        <w:gridCol w:w="969"/>
        <w:gridCol w:w="103"/>
        <w:gridCol w:w="546"/>
        <w:gridCol w:w="103"/>
        <w:gridCol w:w="971"/>
        <w:gridCol w:w="159"/>
      </w:tblGrid>
      <w:tr>
        <w:trPr/>
        <w:tc>
          <w:tcPr>
            <w:tcW w:w="4321"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795" w:type="dxa"/>
            <w:gridSpan w:val="6"/>
            <w:tcBorders/>
            <w:vAlign w:val="bottom"/>
          </w:tcPr>
          <w:p>
            <w:pPr>
              <w:pStyle w:val="TableContents"/>
              <w:bidi w:val="0"/>
              <w:spacing w:before="0" w:after="283"/>
              <w:jc w:val="center"/>
              <w:rPr/>
            </w:pPr>
            <w:r>
              <w:rPr/>
              <w:t>Year ended December 31,</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48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 arising from equity-settled share-based payment transactions</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6,272</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2,608</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b/>
              </w:rPr>
            </w:pPr>
            <w:r>
              <w:rPr>
                <w:b/>
              </w:rPr>
              <w:t>6,272</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2,608</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240" w:hRule="atLeast"/>
        </w:trPr>
        <w:tc>
          <w:tcPr>
            <w:tcW w:w="4321" w:type="dxa"/>
            <w:tcBorders/>
            <w:vAlign w:val="center"/>
          </w:tcPr>
          <w:p>
            <w:pPr>
              <w:pStyle w:val="TableContents"/>
              <w:bidi w:val="0"/>
              <w:spacing w:before="0" w:after="283"/>
              <w:jc w:val="left"/>
              <w:rPr>
                <w:sz w:val="4"/>
                <w:szCs w:val="4"/>
              </w:rPr>
            </w:pPr>
            <w:r>
              <w:rPr>
                <w:sz w:val="4"/>
                <w:szCs w:val="4"/>
              </w:rPr>
            </w:r>
          </w:p>
        </w:tc>
        <w:tc>
          <w:tcPr>
            <w:tcW w:w="3434" w:type="dxa"/>
            <w:gridSpan w:val="8"/>
            <w:tcBorders/>
            <w:vAlign w:val="center"/>
          </w:tcPr>
          <w:p>
            <w:pPr>
              <w:pStyle w:val="TableContents"/>
              <w:bidi w:val="0"/>
              <w:spacing w:before="0" w:after="283"/>
              <w:jc w:val="left"/>
              <w:rPr>
                <w:sz w:val="4"/>
                <w:szCs w:val="4"/>
              </w:rPr>
            </w:pPr>
            <w:r>
              <w:rPr>
                <w:sz w:val="4"/>
                <w:szCs w:val="4"/>
              </w:rPr>
            </w:r>
          </w:p>
        </w:tc>
      </w:tr>
      <w:tr>
        <w:trPr/>
        <w:tc>
          <w:tcPr>
            <w:tcW w:w="4321"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795" w:type="dxa"/>
            <w:gridSpan w:val="6"/>
            <w:tcBorders/>
            <w:vAlign w:val="bottom"/>
          </w:tcPr>
          <w:p>
            <w:pPr>
              <w:pStyle w:val="TableContents"/>
              <w:bidi w:val="0"/>
              <w:spacing w:before="0" w:after="283"/>
              <w:jc w:val="center"/>
              <w:rPr/>
            </w:pPr>
            <w:r>
              <w:rPr/>
              <w:t>Year ended December 31,</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EUR thousand</w:t>
            </w:r>
          </w:p>
        </w:tc>
        <w:tc>
          <w:tcPr>
            <w:tcW w:w="48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580</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295</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2,165</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549</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3,524</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1,768</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b/>
              </w:rPr>
            </w:pPr>
            <w:r>
              <w:rPr>
                <w:b/>
              </w:rPr>
              <w:t>6,272</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b/>
              </w:rPr>
            </w:pPr>
            <w:r>
              <w:rPr>
                <w:b/>
              </w:rPr>
              <w:t>2,608</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Provisions include the following items: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provision for warranties amounted to EUR 90 thousand (2023: EUR 60 thousand). During the financial year, additional provisions of EUR 100 thousand (2024: EUR 90 thousand) were recognized reflecting expected warranty obligations arising from products sold during the period. Warranty claims amounting to EUR 90 thousand were reversed (2024: EUR 60 thousand).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provision for warranties amounted to EUR 100 thousand as of December 31, 2025. The entire balance is classified as current (2024: EUR 90 thousand), as the expected settlement of warranty obligations is anticipated within twelve months after the reporting date. Non-current provisions amounted to EUR nil thousand (2024: EUR nil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System sales of IQM by default include one-year warranties. IQM is obligated to repair or replace the hardware if under warranty. Since the warranty lasts for a year, the expected timing of any resulting outflows lies between one and twelve months as of the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Uncertainties about the amount and timing of the outflows arise in particular from the fact that it is unknown how many warranty claims will be received. The provision is measured at expected value based on historic data. </w:t>
      </w:r>
    </w:p>
    <w:p>
      <w:pPr>
        <w:pStyle w:val="TextBody"/>
        <w:bidi w:val="0"/>
        <w:spacing w:before="240" w:after="0"/>
        <w:jc w:val="left"/>
        <w:rPr>
          <w:rFonts w:ascii="Times New Roman" w:hAnsi="Times New Roman"/>
          <w:sz w:val="20"/>
        </w:rPr>
      </w:pPr>
      <w:r>
        <w:rPr>
          <w:rFonts w:ascii="Times New Roman" w:hAnsi="Times New Roman"/>
          <w:sz w:val="20"/>
        </w:rPr>
        <w:t xml:space="preserve">As at December 31, 2025, the Group recognized provisions for a legal claim in the amount of EUR 60 thousand (2024: EUR 89 thousand). The amount recognized represents management’s best estimate of the expenditure required to settle the present obligations at the reporting date, taking into account all available information. The Group expects to settle the majority of the provision over the next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Deferred taxes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6.9.1. Change in deferred taxes in the balance sheet during the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8"/>
        <w:gridCol w:w="70"/>
        <w:gridCol w:w="121"/>
        <w:gridCol w:w="1545"/>
        <w:gridCol w:w="155"/>
        <w:gridCol w:w="70"/>
        <w:gridCol w:w="119"/>
        <w:gridCol w:w="1272"/>
        <w:gridCol w:w="155"/>
        <w:gridCol w:w="70"/>
        <w:gridCol w:w="188"/>
        <w:gridCol w:w="1204"/>
        <w:gridCol w:w="155"/>
        <w:gridCol w:w="63"/>
        <w:gridCol w:w="60"/>
        <w:gridCol w:w="755"/>
        <w:gridCol w:w="157"/>
        <w:gridCol w:w="70"/>
        <w:gridCol w:w="66"/>
        <w:gridCol w:w="843"/>
        <w:gridCol w:w="155"/>
        <w:gridCol w:w="70"/>
        <w:gridCol w:w="104"/>
        <w:gridCol w:w="1104"/>
        <w:gridCol w:w="166"/>
      </w:tblGrid>
      <w:tr>
        <w:trPr/>
        <w:tc>
          <w:tcPr>
            <w:tcW w:w="1468"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6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38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0" w:type="dxa"/>
            <w:tcBorders/>
            <w:vAlign w:val="bottom"/>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January 1, 2025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profit or loss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equity</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balance</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assets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liabilities</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7,483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493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7,976</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7,976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(3,988</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525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(3,463</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3,463</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4,208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3,522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3,522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PPE</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1,322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1,322</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1,322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 recognition</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128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(193</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91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283</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instruments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2,660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(1,635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1,025</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1,256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231</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financing</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Tax assets (liabilities) before set-off</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10,494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10,192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14,169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3,977</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b/>
                <w:sz w:val="20"/>
              </w:rPr>
            </w:pPr>
            <w:r>
              <w:rPr>
                <w:rFonts w:ascii="Times New Roman" w:hAnsi="Times New Roman"/>
                <w:b/>
                <w:sz w:val="20"/>
              </w:rPr>
              <w:t>Set-off of tax</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(3,977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(3,977</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tax assets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10,192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Unrecognized deferred tax assets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(10,494</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(10,214</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(10,192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on balance sheet</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(56</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3"/>
        <w:gridCol w:w="73"/>
        <w:gridCol w:w="142"/>
        <w:gridCol w:w="1521"/>
        <w:gridCol w:w="155"/>
        <w:gridCol w:w="73"/>
        <w:gridCol w:w="119"/>
        <w:gridCol w:w="1274"/>
        <w:gridCol w:w="155"/>
        <w:gridCol w:w="73"/>
        <w:gridCol w:w="188"/>
        <w:gridCol w:w="1207"/>
        <w:gridCol w:w="59"/>
        <w:gridCol w:w="65"/>
        <w:gridCol w:w="60"/>
        <w:gridCol w:w="755"/>
        <w:gridCol w:w="158"/>
        <w:gridCol w:w="73"/>
        <w:gridCol w:w="66"/>
        <w:gridCol w:w="844"/>
        <w:gridCol w:w="155"/>
        <w:gridCol w:w="73"/>
        <w:gridCol w:w="104"/>
        <w:gridCol w:w="1106"/>
        <w:gridCol w:w="164"/>
      </w:tblGrid>
      <w:tr>
        <w:trPr/>
        <w:tc>
          <w:tcPr>
            <w:tcW w:w="1543"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6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3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3"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January 1, 2024</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profit or loss</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equity</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balance</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assets</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liabilities</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7,087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396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7,483</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7,483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(4,133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(3,988</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3,988</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4,208</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 recognition</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128</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Financial instruments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2,173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487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2,660</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2,882</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222</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207"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Tax assets (liabilities) before set-off</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9,355</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1,130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10,494</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14,703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4,210</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Set-off of tax</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(4,210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(4,210</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tax assets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10,493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tcPr>
          <w:p>
            <w:pPr>
              <w:pStyle w:val="TableContents"/>
              <w:bidi w:val="0"/>
              <w:spacing w:before="0" w:after="0"/>
              <w:jc w:val="left"/>
              <w:rPr>
                <w:rFonts w:ascii="Times New Roman" w:hAnsi="Times New Roman"/>
                <w:b/>
                <w:sz w:val="20"/>
              </w:rPr>
            </w:pPr>
            <w:r>
              <w:rPr>
                <w:rFonts w:ascii="Times New Roman" w:hAnsi="Times New Roman"/>
                <w:b/>
                <w:sz w:val="20"/>
              </w:rPr>
              <w:t>Unrecognized deferred tax assets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(9,355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(1,130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(10,485</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(10,493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on balance sheet</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tax assets arising from outside basis differences (OBD) are not recognized as the timing of the reversal of the difference can be controlled by IQM and it is likely that the difference will not be reversed in the foreseeable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6"/>
        <w:gridCol w:w="9679"/>
      </w:tblGrid>
      <w:tr>
        <w:trPr/>
        <w:tc>
          <w:tcPr>
            <w:tcW w:w="526" w:type="dxa"/>
            <w:tcBorders/>
          </w:tcPr>
          <w:p>
            <w:pPr>
              <w:pStyle w:val="TableContents"/>
              <w:bidi w:val="0"/>
              <w:spacing w:before="0" w:after="283"/>
              <w:jc w:val="left"/>
              <w:rPr>
                <w:b/>
              </w:rPr>
            </w:pPr>
            <w:r>
              <w:rPr>
                <w:b/>
              </w:rPr>
              <w:t>6.9.2.</w:t>
            </w:r>
          </w:p>
        </w:tc>
        <w:tc>
          <w:tcPr>
            <w:tcW w:w="96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losses carried forward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each reporting date the entities of the IQM group held the following tax loss carry forwards for which no deferred tax asset has been recognized: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63"/>
        <w:gridCol w:w="178"/>
        <w:gridCol w:w="60"/>
        <w:gridCol w:w="810"/>
        <w:gridCol w:w="60"/>
        <w:gridCol w:w="178"/>
        <w:gridCol w:w="60"/>
        <w:gridCol w:w="810"/>
        <w:gridCol w:w="60"/>
        <w:gridCol w:w="178"/>
        <w:gridCol w:w="1415"/>
      </w:tblGrid>
      <w:tr>
        <w:trPr/>
        <w:tc>
          <w:tcPr>
            <w:tcW w:w="476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78"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83"/>
              <w:jc w:val="center"/>
              <w:rPr>
                <w:b/>
              </w:rPr>
            </w:pPr>
            <w:r>
              <w:rPr>
                <w:b/>
              </w:rPr>
              <w:t>Expiry</w:t>
            </w:r>
          </w:p>
        </w:tc>
      </w:tr>
      <w:tr>
        <w:trPr/>
        <w:tc>
          <w:tcPr>
            <w:tcW w:w="4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Finland</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147,543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97,000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center"/>
              <w:rPr>
                <w:i/>
              </w:rPr>
            </w:pPr>
            <w:r>
              <w:rPr>
                <w:i/>
              </w:rPr>
              <w:t>up to 10 years</w:t>
            </w:r>
          </w:p>
        </w:tc>
      </w:tr>
      <w:tr>
        <w:trPr/>
        <w:tc>
          <w:tcPr>
            <w:tcW w:w="4763"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12,812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15,215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i/>
              </w:rPr>
            </w:pPr>
            <w:r>
              <w:rPr>
                <w:i/>
              </w:rPr>
              <w:t>unlimited</w:t>
            </w:r>
          </w:p>
        </w:tc>
      </w:tr>
      <w:tr>
        <w:trPr/>
        <w:tc>
          <w:tcPr>
            <w:tcW w:w="4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3,851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4,000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center"/>
              <w:rPr>
                <w:i/>
              </w:rPr>
            </w:pPr>
            <w:r>
              <w:rPr>
                <w:i/>
              </w:rPr>
              <w:t>various</w:t>
            </w:r>
          </w:p>
        </w:tc>
      </w:tr>
      <w:tr>
        <w:trPr/>
        <w:tc>
          <w:tcPr>
            <w:tcW w:w="47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164,207</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116,215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losses included under “Other” primarily relate to France, Spain, USA and Poland. Tax losses in Poland generally expire after 5 years, tax losses in the US, Spain and France do generally not expire. These losses relate to subsidiaries that have a history of losses and may not be used to offset taxable income elsewhere in the Group. The subsidiaries neither have any taxable temporary difference nor any tax planning opportunities available that could partly support the recognition of these losses as deferred tax assets. On this basis, the Group has determined that it cannot recognize deferred tax assets on the tax losses carried forward.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6.10.</w:t>
            </w:r>
          </w:p>
        </w:tc>
        <w:tc>
          <w:tcPr>
            <w:tcW w:w="9752" w:type="dxa"/>
            <w:tcBorders/>
          </w:tcPr>
          <w:p>
            <w:pPr>
              <w:pStyle w:val="TableContents"/>
              <w:bidi w:val="0"/>
              <w:spacing w:before="0" w:after="0"/>
              <w:jc w:val="left"/>
              <w:rPr/>
            </w:pPr>
            <w:r>
              <w:rPr/>
              <w:t> </w:t>
            </w:r>
            <w:r>
              <w:rPr>
                <w:rFonts w:ascii="Times New Roman" w:hAnsi="Times New Roman"/>
                <w:b/>
                <w:sz w:val="20"/>
              </w:rPr>
              <w:t xml:space="preserve">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1"/>
        <w:gridCol w:w="525"/>
        <w:gridCol w:w="189"/>
        <w:gridCol w:w="1771"/>
        <w:gridCol w:w="60"/>
        <w:gridCol w:w="525"/>
        <w:gridCol w:w="189"/>
        <w:gridCol w:w="1771"/>
        <w:gridCol w:w="64"/>
      </w:tblGrid>
      <w:tr>
        <w:trPr/>
        <w:tc>
          <w:tcPr>
            <w:tcW w:w="2661"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6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external services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2,958</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572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 liabilities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600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456</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 accrual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516</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748</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VAT and sales tax liabilities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298</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 accrual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193</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87</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CIT tax accrual</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Warranty cost</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90</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Advanced payments QPU income</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170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368</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Social security liabilities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51</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Accrued legal costs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Advanced received related to grants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167</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66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b/>
              </w:rPr>
            </w:pPr>
            <w:r>
              <w:rPr>
                <w:b/>
              </w:rPr>
              <w:t>5,124</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b/>
              </w:rPr>
            </w:pPr>
            <w:r>
              <w:rPr>
                <w:b/>
              </w:rPr>
              <w:t>3,072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Equity includes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22"/>
        <w:gridCol w:w="321"/>
        <w:gridCol w:w="86"/>
        <w:gridCol w:w="1952"/>
        <w:gridCol w:w="155"/>
        <w:gridCol w:w="321"/>
        <w:gridCol w:w="86"/>
        <w:gridCol w:w="1952"/>
        <w:gridCol w:w="160"/>
      </w:tblGrid>
      <w:tr>
        <w:trPr/>
        <w:tc>
          <w:tcPr>
            <w:tcW w:w="2722"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w:t>
            </w:r>
          </w:p>
        </w:tc>
        <w:tc>
          <w:tcPr>
            <w:tcW w:w="321" w:type="dxa"/>
            <w:tcBorders/>
            <w:vAlign w:val="bottom"/>
          </w:tcPr>
          <w:p>
            <w:pPr>
              <w:pStyle w:val="TableContents"/>
              <w:bidi w:val="0"/>
              <w:spacing w:before="0" w:after="283"/>
              <w:jc w:val="left"/>
              <w:rPr/>
            </w:pPr>
            <w:r>
              <w:rPr/>
              <w:t>  </w:t>
            </w:r>
          </w:p>
        </w:tc>
        <w:tc>
          <w:tcPr>
            <w:tcW w:w="2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0" w:type="dxa"/>
            <w:tcBorders/>
            <w:vAlign w:val="bottom"/>
          </w:tcPr>
          <w:p>
            <w:pPr>
              <w:pStyle w:val="TableContents"/>
              <w:bidi w:val="0"/>
              <w:spacing w:before="0" w:after="283"/>
              <w:jc w:val="left"/>
              <w:rPr/>
            </w:pPr>
            <w:r>
              <w:rPr/>
              <w:t> </w:t>
            </w:r>
          </w:p>
        </w:tc>
      </w:tr>
      <w:tr>
        <w:trPr/>
        <w:tc>
          <w:tcPr>
            <w:tcW w:w="2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2,500</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2,500</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438,156,913</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185,590,183</w:t>
            </w:r>
          </w:p>
        </w:tc>
        <w:tc>
          <w:tcPr>
            <w:tcW w:w="160" w:type="dxa"/>
            <w:tcBorders/>
            <w:vAlign w:val="bottom"/>
          </w:tcPr>
          <w:p>
            <w:pPr>
              <w:pStyle w:val="TableContents"/>
              <w:bidi w:val="0"/>
              <w:spacing w:before="0" w:after="283"/>
              <w:jc w:val="left"/>
              <w:rPr/>
            </w:pPr>
            <w:r>
              <w:rPr/>
              <w:t> </w:t>
            </w:r>
          </w:p>
        </w:tc>
      </w:tr>
      <w:tr>
        <w:trPr/>
        <w:tc>
          <w:tcPr>
            <w:tcW w:w="2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(232,243,376</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(177,854,225</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(15,871</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(4,783</w:t>
            </w:r>
          </w:p>
        </w:tc>
        <w:tc>
          <w:tcPr>
            <w:tcW w:w="160" w:type="dxa"/>
            <w:tcBorders/>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b/>
              </w:rPr>
            </w:pPr>
            <w:r>
              <w:rPr>
                <w:b/>
              </w:rPr>
              <w:t>205,900,166</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b/>
              </w:rPr>
            </w:pPr>
            <w:r>
              <w:rPr>
                <w:b/>
              </w:rPr>
              <w:t>7,733,674</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 capital and capital reserves </w:t>
      </w:r>
    </w:p>
    <w:p>
      <w:pPr>
        <w:pStyle w:val="TextBody"/>
        <w:bidi w:val="0"/>
        <w:spacing w:before="120" w:after="0"/>
        <w:jc w:val="left"/>
        <w:rPr>
          <w:rFonts w:ascii="Times New Roman" w:hAnsi="Times New Roman"/>
          <w:sz w:val="20"/>
        </w:rPr>
      </w:pPr>
      <w:r>
        <w:rPr>
          <w:rFonts w:ascii="Times New Roman" w:hAnsi="Times New Roman"/>
          <w:sz w:val="20"/>
        </w:rPr>
        <w:t xml:space="preserve">As at December 31, 2025, the registered share capital of IQM amounted to EUR 2,500 (December 31, 2024: EUR 2,500) and comprises shares with a nominal value of EUR 1.00 each. </w:t>
      </w:r>
    </w:p>
    <w:p>
      <w:pPr>
        <w:pStyle w:val="TextBody"/>
        <w:bidi w:val="0"/>
        <w:spacing w:before="240" w:after="0"/>
        <w:jc w:val="left"/>
        <w:rPr>
          <w:rFonts w:ascii="Times New Roman" w:hAnsi="Times New Roman"/>
          <w:sz w:val="20"/>
        </w:rPr>
      </w:pPr>
      <w:r>
        <w:rPr>
          <w:rFonts w:ascii="Times New Roman" w:hAnsi="Times New Roman"/>
          <w:sz w:val="20"/>
        </w:rPr>
        <w:t xml:space="preserve">The respective balance of the capital reserve on the balance sheet dates and the development of the capital reserve in the financial years are shown in the consolidated statement of changes in equity.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Group’s parent company decided, with the authorization of the Annual General Meeting, to arrange a Series B financing round. On March 26, 2025 the first tranche of the series B financing round was issued, in which 327,571 Series B shares of the parent company were subscribed as part of a total financing volume of EUR 282,177 thousand. In connection with the first tranche, certain investors were granted a total amount of 43,092 warrants entitling them to subscribe for additional Series B shares upon exercise. </w:t>
      </w:r>
    </w:p>
    <w:p>
      <w:pPr>
        <w:pStyle w:val="TextBody"/>
        <w:bidi w:val="0"/>
        <w:spacing w:before="240" w:after="0"/>
        <w:jc w:val="left"/>
        <w:rPr>
          <w:rFonts w:ascii="Times New Roman" w:hAnsi="Times New Roman"/>
          <w:sz w:val="20"/>
        </w:rPr>
      </w:pPr>
      <w:r>
        <w:rPr>
          <w:rFonts w:ascii="Times New Roman" w:hAnsi="Times New Roman"/>
          <w:sz w:val="20"/>
        </w:rPr>
        <w:t xml:space="preserve">As the warrants meet the fixed-for-fixed criterion, they are classified as equity instruments. Upon issuance, the warrants were measured at fair value and recognized directly in capital reserve within equity. The warrants were measured at fair value at issuance using the Black-Scholes model, resulting in a total fair value of EUR 12,000 thousand. The inputs used in the Black-Scholes are share price, strike price, expected term, volatility and the risk-free rate. As the warrants were issued in connection with the first tranche of the Series B financing round, they formed part of the total proceeds of EUR 155,550 thousand received in that tranche. Based on a relative fair value allocation of the proceeds, the amount attributable to the warrants was recognized in capital reserve within equity, while the remaining proceeds were allocated to share capital and share premium. </w:t>
      </w:r>
    </w:p>
    <w:p>
      <w:pPr>
        <w:pStyle w:val="TextBody"/>
        <w:bidi w:val="0"/>
        <w:spacing w:before="240" w:after="0"/>
        <w:jc w:val="left"/>
        <w:rPr>
          <w:rFonts w:ascii="Times New Roman" w:hAnsi="Times New Roman"/>
          <w:sz w:val="20"/>
        </w:rPr>
      </w:pPr>
      <w:r>
        <w:rPr>
          <w:rFonts w:ascii="Times New Roman" w:hAnsi="Times New Roman"/>
          <w:sz w:val="20"/>
        </w:rPr>
        <w:t xml:space="preserve">On August 15, 2025 the second tranche of the Series B financing round was issued, in which an additional 251,548 Series B shares of the parent company were subscribed.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Group repurchased a total of 17,251 Series A1 shares for EUR 507.83 per share and 24,334 Series A2 shares for EUR 561.38 per share from existing shareholders. In December, the Company further repurchased 15,112 common shares for EUR 467.74 per share from several existing shareholders. In connection with this transaction, 15,112 Series B shares were newly issued. </w:t>
      </w:r>
    </w:p>
    <w:p>
      <w:pPr>
        <w:pStyle w:val="TextBody"/>
        <w:bidi w:val="0"/>
        <w:spacing w:before="240" w:after="0"/>
        <w:jc w:val="left"/>
        <w:rPr>
          <w:rFonts w:ascii="Times New Roman" w:hAnsi="Times New Roman"/>
          <w:sz w:val="20"/>
        </w:rPr>
      </w:pPr>
      <w:r>
        <w:rPr>
          <w:rFonts w:ascii="Times New Roman" w:hAnsi="Times New Roman"/>
          <w:sz w:val="20"/>
        </w:rPr>
        <w:t xml:space="preserve">All shares repurchased during the year were subsequently cancelled; accordingly, the Company did not hold any treasury shares as of the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paid for the repurchase of the Company’s own equity instruments amounts to EUR 29,490 thousand and was recognized as a deduction from equity. No gain or loss was recognized in profit or loss in respect of the share buybacks.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financing round, directly attributable transaction costs of TEUR 6,006 were recognized as a deduction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divided into the following share classes: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7"/>
        <w:gridCol w:w="133"/>
        <w:gridCol w:w="63"/>
        <w:gridCol w:w="846"/>
        <w:gridCol w:w="159"/>
        <w:gridCol w:w="90"/>
        <w:gridCol w:w="60"/>
        <w:gridCol w:w="815"/>
        <w:gridCol w:w="60"/>
        <w:gridCol w:w="133"/>
        <w:gridCol w:w="60"/>
        <w:gridCol w:w="861"/>
        <w:gridCol w:w="159"/>
        <w:gridCol w:w="90"/>
        <w:gridCol w:w="59"/>
        <w:gridCol w:w="861"/>
        <w:gridCol w:w="159"/>
        <w:gridCol w:w="90"/>
        <w:gridCol w:w="60"/>
        <w:gridCol w:w="815"/>
        <w:gridCol w:w="60"/>
        <w:gridCol w:w="133"/>
        <w:gridCol w:w="60"/>
        <w:gridCol w:w="993"/>
        <w:gridCol w:w="169"/>
      </w:tblGrid>
      <w:tr>
        <w:trPr/>
        <w:tc>
          <w:tcPr>
            <w:tcW w:w="321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Number of shares</w:t>
            </w:r>
          </w:p>
        </w:tc>
        <w:tc>
          <w:tcPr>
            <w:tcW w:w="133"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pPr>
            <w:r>
              <w:rPr/>
              <w:t>Common</w:t>
              <w:br/>
              <w:t>shares</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Seed</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pPr>
            <w:r>
              <w:rPr/>
              <w:t>Series A1</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pPr>
            <w:r>
              <w:rPr/>
              <w:t>Series A2</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Series B</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January 1, 2024</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b/>
              </w:rPr>
            </w:pPr>
            <w:r>
              <w:rPr>
                <w:b/>
              </w:rPr>
              <w:t>316,949</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291,090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134,457</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306,271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b/>
              </w:rPr>
            </w:pPr>
            <w:r>
              <w:rPr>
                <w:b/>
              </w:rPr>
              <w:t>1,048,767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December 31, 2024</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b/>
              </w:rPr>
            </w:pPr>
            <w:r>
              <w:rPr>
                <w:b/>
              </w:rPr>
              <w:t>316,949</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291,090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134,457</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306,271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b/>
              </w:rPr>
            </w:pPr>
            <w:r>
              <w:rPr>
                <w:b/>
              </w:rPr>
              <w:t>1,048,767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594,231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594,231</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Buybacks</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(15,112</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(17,251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(24,334</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(56,697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December 31, 2025</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b/>
              </w:rPr>
            </w:pPr>
            <w:r>
              <w:rPr>
                <w:b/>
              </w:rPr>
              <w:t>301,837</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291,090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117,206</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281,937</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594,231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b/>
              </w:rPr>
            </w:pPr>
            <w:r>
              <w:rPr>
                <w:b/>
              </w:rPr>
              <w:t>1,586,301</w:t>
            </w:r>
          </w:p>
        </w:tc>
        <w:tc>
          <w:tcPr>
            <w:tcW w:w="169" w:type="dxa"/>
            <w:tcBorders/>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share classes (Series Seed, Series A1, Series A2, Series B) are legally designated as preferred shares and grant their holders preferential rights compared to common shareholders. In particular, the preferred shares carry liquidation preferences, entitling the holders to receive proceeds prior to common shareholders in the event of a liquidation, sale, or other exit transaction. These instruments qualify as convertible preferred shares, as each preferred share is exercisable into one ordinary share on a 1:1 basis at any time at the holder’s option, with mandatory conversion upon an IPO or similar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Retained earnings and other reserves </w:t>
      </w:r>
    </w:p>
    <w:p>
      <w:pPr>
        <w:pStyle w:val="TextBody"/>
        <w:bidi w:val="0"/>
        <w:spacing w:before="120" w:after="0"/>
        <w:jc w:val="left"/>
        <w:rPr>
          <w:rFonts w:ascii="Times New Roman" w:hAnsi="Times New Roman"/>
          <w:sz w:val="20"/>
        </w:rPr>
      </w:pPr>
      <w:r>
        <w:rPr>
          <w:rFonts w:ascii="Times New Roman" w:hAnsi="Times New Roman"/>
          <w:sz w:val="20"/>
        </w:rPr>
        <w:t xml:space="preserve">Retained earnings contain earnings of the companies included in these consolidated financial statements including earnings of the current fiscal year, provided these have not been distributed. As of the end of the reporting period, the Group had retained earnings of EUR (232,243) thousand (December 31, 2024: EUR (177,854) thousand). </w:t>
      </w:r>
    </w:p>
    <w:p>
      <w:pPr>
        <w:pStyle w:val="TextBody"/>
        <w:bidi w:val="0"/>
        <w:spacing w:before="240" w:after="0"/>
        <w:jc w:val="left"/>
        <w:rPr>
          <w:rFonts w:ascii="Times New Roman" w:hAnsi="Times New Roman"/>
          <w:sz w:val="20"/>
        </w:rPr>
      </w:pPr>
      <w:r>
        <w:rPr>
          <w:rFonts w:ascii="Times New Roman" w:hAnsi="Times New Roman"/>
          <w:sz w:val="20"/>
        </w:rPr>
        <w:t xml:space="preserve">Other reserves include remeasurement adjustments from defined benefit pension obligations as well as the currency translation reserve resulting from the translation of foreign business operations into Euros.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assets and 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Note provides information about the Group’s financial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Trade receivables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Trade receivables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27"/>
        <w:gridCol w:w="494"/>
        <w:gridCol w:w="158"/>
        <w:gridCol w:w="1804"/>
        <w:gridCol w:w="155"/>
        <w:gridCol w:w="494"/>
        <w:gridCol w:w="189"/>
        <w:gridCol w:w="1776"/>
        <w:gridCol w:w="158"/>
      </w:tblGrid>
      <w:tr>
        <w:trPr/>
        <w:tc>
          <w:tcPr>
            <w:tcW w:w="2527"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94"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8" w:type="dxa"/>
            <w:tcBorders/>
            <w:vAlign w:val="bottom"/>
          </w:tcPr>
          <w:p>
            <w:pPr>
              <w:pStyle w:val="TableContents"/>
              <w:bidi w:val="0"/>
              <w:spacing w:before="0" w:after="283"/>
              <w:jc w:val="left"/>
              <w:rPr/>
            </w:pPr>
            <w:r>
              <w:rPr/>
              <w:t> </w:t>
            </w:r>
          </w:p>
        </w:tc>
      </w:tr>
      <w:tr>
        <w:trPr/>
        <w:tc>
          <w:tcPr>
            <w:tcW w:w="2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49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15,647</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2,066</w:t>
            </w:r>
          </w:p>
        </w:tc>
        <w:tc>
          <w:tcPr>
            <w:tcW w:w="158" w:type="dxa"/>
            <w:tcBorders/>
            <w:shd w:fill="CCEEFF" w:val="clear"/>
            <w:vAlign w:val="bottom"/>
          </w:tcPr>
          <w:p>
            <w:pPr>
              <w:pStyle w:val="TableContents"/>
              <w:bidi w:val="0"/>
              <w:spacing w:before="0" w:after="283"/>
              <w:jc w:val="left"/>
              <w:rPr/>
            </w:pPr>
            <w:r>
              <w:rPr/>
              <w:t> </w:t>
            </w:r>
          </w:p>
        </w:tc>
      </w:tr>
      <w:tr>
        <w:trPr/>
        <w:tc>
          <w:tcPr>
            <w:tcW w:w="2527" w:type="dxa"/>
            <w:tcBorders/>
          </w:tcPr>
          <w:p>
            <w:pPr>
              <w:pStyle w:val="TableContents"/>
              <w:bidi w:val="0"/>
              <w:spacing w:before="0" w:after="0"/>
              <w:jc w:val="left"/>
              <w:rPr>
                <w:rFonts w:ascii="Times New Roman" w:hAnsi="Times New Roman"/>
                <w:sz w:val="20"/>
              </w:rPr>
            </w:pPr>
            <w:r>
              <w:rPr>
                <w:rFonts w:ascii="Times New Roman" w:hAnsi="Times New Roman"/>
                <w:sz w:val="20"/>
              </w:rPr>
              <w:t>Bad debt allowances</w:t>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2527"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9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b/>
              </w:rPr>
            </w:pPr>
            <w:r>
              <w:rPr>
                <w:b/>
              </w:rPr>
              <w:t>15,489</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b/>
              </w:rPr>
            </w:pPr>
            <w:r>
              <w:rPr>
                <w:b/>
              </w:rPr>
              <w:t>2,056</w:t>
            </w:r>
          </w:p>
        </w:tc>
        <w:tc>
          <w:tcPr>
            <w:tcW w:w="158" w:type="dxa"/>
            <w:tcBorders/>
            <w:shd w:fill="CCEEFF" w:val="clear"/>
            <w:vAlign w:val="bottom"/>
          </w:tcPr>
          <w:p>
            <w:pPr>
              <w:pStyle w:val="TableContents"/>
              <w:bidi w:val="0"/>
              <w:spacing w:before="0" w:after="283"/>
              <w:jc w:val="left"/>
              <w:rPr/>
            </w:pPr>
            <w:r>
              <w:rPr/>
              <w:t> </w:t>
            </w:r>
          </w:p>
        </w:tc>
      </w:tr>
      <w:tr>
        <w:trPr/>
        <w:tc>
          <w:tcPr>
            <w:tcW w:w="2527"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receivables are non-interest bearing and are generally short-term.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assets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06"/>
        <w:gridCol w:w="553"/>
        <w:gridCol w:w="189"/>
        <w:gridCol w:w="1771"/>
        <w:gridCol w:w="60"/>
        <w:gridCol w:w="553"/>
        <w:gridCol w:w="189"/>
        <w:gridCol w:w="1771"/>
        <w:gridCol w:w="63"/>
      </w:tblGrid>
      <w:tr>
        <w:trPr/>
        <w:tc>
          <w:tcPr>
            <w:tcW w:w="2606"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0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53"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3" w:type="dxa"/>
            <w:tcBorders/>
            <w:vAlign w:val="bottom"/>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1,086</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 fund</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849</w:t>
            </w:r>
          </w:p>
        </w:tc>
        <w:tc>
          <w:tcPr>
            <w:tcW w:w="63" w:type="dxa"/>
            <w:tcBorders/>
            <w:vAlign w:val="bottom"/>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vAlign w:val="bottom"/>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60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1,785</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1,935</w:t>
            </w:r>
          </w:p>
        </w:tc>
        <w:tc>
          <w:tcPr>
            <w:tcW w:w="63" w:type="dxa"/>
            <w:tcBorders/>
            <w:vAlign w:val="bottom"/>
          </w:tcPr>
          <w:p>
            <w:pPr>
              <w:pStyle w:val="TableContents"/>
              <w:bidi w:val="0"/>
              <w:spacing w:before="0" w:after="283"/>
              <w:jc w:val="left"/>
              <w:rPr/>
            </w:pPr>
            <w:r>
              <w:rPr/>
              <w:t> </w:t>
            </w:r>
          </w:p>
        </w:tc>
      </w:tr>
      <w:tr>
        <w:trPr/>
        <w:tc>
          <w:tcPr>
            <w:tcW w:w="2606" w:type="dxa"/>
            <w:tcBorders/>
            <w:vAlign w:val="bottom"/>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current</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i/>
              </w:rPr>
            </w:pPr>
            <w:r>
              <w:rPr>
                <w:i/>
              </w:rPr>
              <w:t>876</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i/>
              </w:rPr>
            </w:pPr>
            <w:r>
              <w:rPr>
                <w:i/>
              </w:rPr>
              <w:t>849</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non-current</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i/>
              </w:rPr>
            </w:pPr>
            <w:r>
              <w:rPr>
                <w:i/>
              </w:rPr>
              <w:t>910</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i/>
              </w:rPr>
            </w:pPr>
            <w:r>
              <w:rPr>
                <w:i/>
              </w:rPr>
              <w:t>1,086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Group holds investments in a short-term investment fund amounting to EUR 876 thousand (December 31, 2024: EUR 849 thousand). The fund is classified as a financial asset at FVtPL. </w:t>
      </w:r>
    </w:p>
    <w:p>
      <w:pPr>
        <w:pStyle w:val="TextBody"/>
        <w:bidi w:val="0"/>
        <w:spacing w:before="240" w:after="0"/>
        <w:jc w:val="left"/>
        <w:rPr>
          <w:rFonts w:ascii="Times New Roman" w:hAnsi="Times New Roman"/>
          <w:sz w:val="20"/>
        </w:rPr>
      </w:pPr>
      <w:r>
        <w:rPr>
          <w:rFonts w:ascii="Times New Roman" w:hAnsi="Times New Roman"/>
          <w:sz w:val="20"/>
        </w:rPr>
        <w:t xml:space="preserve">For detailed information regarding the carrying amounts and fair values of financial instruments, refer to Note </w:t>
      </w:r>
      <w:r>
        <w:rPr>
          <w:rFonts w:ascii="Times New Roman" w:hAnsi="Times New Roman"/>
          <w:sz w:val="20"/>
          <w:u w:val="single"/>
        </w:rPr>
        <w:t>9.3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32"/>
        <w:gridCol w:w="492"/>
        <w:gridCol w:w="136"/>
        <w:gridCol w:w="1820"/>
        <w:gridCol w:w="60"/>
        <w:gridCol w:w="492"/>
        <w:gridCol w:w="158"/>
        <w:gridCol w:w="1801"/>
        <w:gridCol w:w="64"/>
      </w:tblGrid>
      <w:tr>
        <w:trPr/>
        <w:tc>
          <w:tcPr>
            <w:tcW w:w="2732"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73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92"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146,544</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pPr>
            <w:r>
              <w:rPr/>
              <w:t>17,247</w:t>
            </w:r>
          </w:p>
        </w:tc>
        <w:tc>
          <w:tcPr>
            <w:tcW w:w="64" w:type="dxa"/>
            <w:tcBorders/>
            <w:shd w:fill="CCEEFF" w:val="clear"/>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7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b/>
              </w:rPr>
            </w:pPr>
            <w:r>
              <w:rPr>
                <w:b/>
              </w:rPr>
              <w:t>146,544</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1" w:type="dxa"/>
            <w:tcBorders/>
            <w:vAlign w:val="bottom"/>
          </w:tcPr>
          <w:p>
            <w:pPr>
              <w:pStyle w:val="TableContents"/>
              <w:bidi w:val="0"/>
              <w:spacing w:before="0" w:after="283"/>
              <w:jc w:val="right"/>
              <w:rPr>
                <w:b/>
              </w:rPr>
            </w:pPr>
            <w:r>
              <w:rPr>
                <w:b/>
              </w:rPr>
              <w:t>17,247</w:t>
            </w:r>
          </w:p>
        </w:tc>
        <w:tc>
          <w:tcPr>
            <w:tcW w:w="64"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Trade payables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Trade payables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1"/>
        <w:gridCol w:w="525"/>
        <w:gridCol w:w="189"/>
        <w:gridCol w:w="1771"/>
        <w:gridCol w:w="60"/>
        <w:gridCol w:w="525"/>
        <w:gridCol w:w="189"/>
        <w:gridCol w:w="1771"/>
        <w:gridCol w:w="64"/>
      </w:tblGrid>
      <w:tr>
        <w:trPr/>
        <w:tc>
          <w:tcPr>
            <w:tcW w:w="2661"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6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 – invoiced</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8,221</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1,303</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 – goods received not invoiced</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582</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3,077</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32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66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8,855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4,412</w:t>
            </w:r>
          </w:p>
        </w:tc>
        <w:tc>
          <w:tcPr>
            <w:tcW w:w="64" w:type="dxa"/>
            <w:tcBorders/>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payables are non-interest bearing and are normally settled within a term of 30 days. </w:t>
      </w:r>
    </w:p>
    <w:p>
      <w:pPr>
        <w:pStyle w:val="TextBody"/>
        <w:bidi w:val="0"/>
        <w:spacing w:before="240" w:after="0"/>
        <w:jc w:val="left"/>
        <w:rPr>
          <w:rFonts w:ascii="Times New Roman" w:hAnsi="Times New Roman"/>
          <w:sz w:val="20"/>
        </w:rPr>
      </w:pPr>
      <w:r>
        <w:rPr>
          <w:rFonts w:ascii="Times New Roman" w:hAnsi="Times New Roman"/>
          <w:sz w:val="20"/>
        </w:rPr>
        <w:t xml:space="preserve">Refer to Note </w:t>
      </w:r>
      <w:r>
        <w:rPr>
          <w:rFonts w:ascii="Times New Roman" w:hAnsi="Times New Roman"/>
          <w:sz w:val="20"/>
          <w:u w:val="single"/>
        </w:rPr>
        <w:t>9.1</w:t>
      </w:r>
      <w:r>
        <w:rPr>
          <w:rFonts w:ascii="Times New Roman" w:hAnsi="Times New Roman"/>
          <w:sz w:val="20"/>
        </w:rPr>
        <w:t xml:space="preserve"> for the Group’s risk management policies.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96"/>
        <w:gridCol w:w="509"/>
        <w:gridCol w:w="158"/>
        <w:gridCol w:w="1800"/>
        <w:gridCol w:w="60"/>
        <w:gridCol w:w="509"/>
        <w:gridCol w:w="158"/>
        <w:gridCol w:w="1800"/>
        <w:gridCol w:w="65"/>
      </w:tblGrid>
      <w:tr>
        <w:trPr/>
        <w:tc>
          <w:tcPr>
            <w:tcW w:w="269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9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42,506</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from financial institutions</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3,115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9,179</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financial liabilities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7,568</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14,397</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b/>
              </w:rPr>
            </w:pPr>
            <w:r>
              <w:rPr>
                <w:b/>
              </w:rPr>
              <w:t>17,746</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b/>
              </w:rPr>
            </w:pPr>
            <w:r>
              <w:rPr>
                <w:b/>
              </w:rPr>
              <w:t>66,088</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current</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i/>
              </w:rPr>
            </w:pPr>
            <w:r>
              <w:rPr>
                <w:i/>
              </w:rPr>
              <w:t>8,525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i/>
              </w:rPr>
            </w:pPr>
            <w:r>
              <w:rPr>
                <w:i/>
              </w:rPr>
              <w:t>5,078</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non-current</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i/>
              </w:rPr>
            </w:pPr>
            <w:r>
              <w:rPr>
                <w:i/>
              </w:rPr>
              <w:t>9,222</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i/>
              </w:rPr>
            </w:pPr>
            <w:r>
              <w:rPr>
                <w:i/>
              </w:rPr>
              <w:t>61,011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detailed information regarding the carrying amounts and fair values of financial instruments, refer to Note </w:t>
      </w:r>
      <w:r>
        <w:rPr>
          <w:rFonts w:ascii="Times New Roman" w:hAnsi="Times New Roman"/>
          <w:sz w:val="20"/>
          <w:u w:val="single"/>
        </w:rPr>
        <w:t>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Current financial liabilities comprise the portion of Danske Bank loan agreement due within the next twelve months, as well as the revolving short-term credit facility under the Danske loan agreement that was drawn in 2024.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loans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9, 2022, IQM entered into a convertible loan agreement with the European Investment Bank (EIB) comprising two tranches of EUR 25,000 thousand and EUR 10,000 thousand. The loan bears a fixed interest rate of 5.0% p.a. and matures six years after disbursement. The agreement includes a conversion option and a voluntary prepayment option. The agreement is accounted for as a financial liability. The financial liability is initially measured at fair value less transaction costs and subsequently at amortized cost using the effective interest method. The loan agreement includes a separable prepayment option measured at fair value. In December 2025, the option for early repayment was exercised. The full nominal amount, including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was repaid. Due to the specific terms of the option, an additional fee of EUR 4,389 thousand was incurred. The negotiated fee is presented under Finance costs.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option of the lender was accounted for as a separate embedded derivative measured at fair value through profit or loss. Following the full repayment of the underlying loan in December 2025, the embedded derivative was extinguished, resulting in a gain of EUR 7,145 thousand recognized in finance income. No carrying amount remains as at December 31, 2025 (December 31, 2024: EUR 7,145 thousand).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2021, IQM entered into two capital loan agreements with Aalto University Foundation SR for EUR 3,823,500 (Loan 1) and EUR 4,062,500 (Loan 2). Both loans are due upon the earlier of (i) an Exit Event (Listing, Trade Sale, Liquidation) or (ii) the tenth anniversary of the effective date. The loans bear no interest. The convertible loans grant the lender a right to convert the outstanding principal into ordinary shares at a contractually defined conversion price, with a variable number of shares issued upon conversion. The conversion option was accounted for as an embedded derivative financial liability measured at fair value through profit or loss, with a carrying amount of EUR 6,122 thousand as at December 31, 2025 (December 31, 2024: EUR 7,252 thousand). </w:t>
      </w:r>
    </w:p>
    <w:p>
      <w:pPr>
        <w:pStyle w:val="TextBody"/>
        <w:bidi w:val="0"/>
        <w:spacing w:before="360" w:after="0"/>
        <w:jc w:val="left"/>
        <w:rPr>
          <w:rFonts w:ascii="Times New Roman" w:hAnsi="Times New Roman"/>
          <w:b/>
          <w:sz w:val="20"/>
        </w:rPr>
      </w:pPr>
      <w:r>
        <w:rPr>
          <w:rFonts w:ascii="Times New Roman" w:hAnsi="Times New Roman"/>
          <w:b/>
          <w:sz w:val="20"/>
        </w:rPr>
        <w:t xml:space="preserve">Danske Bank A/S loan </w:t>
      </w:r>
    </w:p>
    <w:p>
      <w:pPr>
        <w:pStyle w:val="TextBody"/>
        <w:bidi w:val="0"/>
        <w:spacing w:before="120" w:after="0"/>
        <w:jc w:val="left"/>
        <w:rPr>
          <w:rFonts w:ascii="Times New Roman" w:hAnsi="Times New Roman"/>
          <w:sz w:val="20"/>
        </w:rPr>
      </w:pPr>
      <w:r>
        <w:rPr>
          <w:rFonts w:ascii="Times New Roman" w:hAnsi="Times New Roman"/>
          <w:sz w:val="20"/>
        </w:rPr>
        <w:t xml:space="preserve">On June 28, 2021, IQM entered into a loan agreement with Danske Bank A/S for an initial amount of EUR 4,000 thousand. The loan bears interest at 12M EURIBOR +1.75%. Monthly repayments of EUR 83 thousand commenced on June 30, 2022. The loan was initially measured at fair value, which equals the transaction price, less any directly attributable transaction costs. Subsequently, the loan is measured at amortized cost using the effective interest rate method. The portion of the loan due within one year from the reporting date is presented as a short-term loan at amortized cost and since the loan matures on June 27, 2026.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contains customary representations and warranties and customary affirmative and negative covenants. The negative covenants include restrictions on, among other things, indebtedness, liens, investments, mergers, dispositions, transactions with affiliates and dividends and other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Loan from the State Treasury </w:t>
      </w:r>
    </w:p>
    <w:p>
      <w:pPr>
        <w:pStyle w:val="TextBody"/>
        <w:bidi w:val="0"/>
        <w:spacing w:before="120" w:after="0"/>
        <w:jc w:val="left"/>
        <w:rPr>
          <w:rFonts w:ascii="Times New Roman" w:hAnsi="Times New Roman"/>
          <w:sz w:val="20"/>
        </w:rPr>
      </w:pPr>
      <w:r>
        <w:rPr>
          <w:rFonts w:ascii="Times New Roman" w:hAnsi="Times New Roman"/>
          <w:sz w:val="20"/>
        </w:rPr>
        <w:t xml:space="preserve">On September 20, 2020, IQM entered into a loan agreement with the Finnish State Treasury for an initial amount of EUR 2,700 thousand. The loan bears a fixed interest rate of 1.0% p.a. The loan period is 10 years, with annual repayments of EUR 540 thousand commencing on September 20, 2026. </w:t>
      </w:r>
    </w:p>
    <w:p>
      <w:pPr>
        <w:pStyle w:val="TextBody"/>
        <w:bidi w:val="0"/>
        <w:spacing w:before="360" w:after="0"/>
        <w:jc w:val="left"/>
        <w:rPr>
          <w:rFonts w:ascii="Times New Roman" w:hAnsi="Times New Roman"/>
          <w:b/>
          <w:sz w:val="20"/>
        </w:rPr>
      </w:pPr>
      <w:r>
        <w:rPr>
          <w:rFonts w:ascii="Times New Roman" w:hAnsi="Times New Roman"/>
          <w:b/>
          <w:sz w:val="20"/>
        </w:rPr>
        <w:t xml:space="preserve">Kreos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23 December 2025, the Group entered into a loan agreement with Kreos Capital VII by BlackRock Investment Management for a total facility amount of EUR 50,000 thousand. The facility consists of two tranches of EUR 5,000 thousand and EUR 45,000 thousand, respectively. As of December 31, 2025, neither tranche had been drawn.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Loan Agreement bear interest at a rate 11.0% per annum, and are secured by all movable property capable of being pledged in accordance with the Finnish Business Mortgage Act and the Finnish Business Mortgage Decree. The Group has agreed to repay the amount borrowed under the Loan Agreement in monthly installments, consisting of an interest-only period ending on December 31, 2026, followed by 30 monthly payments of principal and interest with respect to the outstanding amount under the Loan Agreement, at which time amounts borrowed under the Loan Agreement will be fully repaid. The Group may also prepay the amount borrowed under the Loan Agreement, in whole but not in part, at any time subject to a prepayment fee.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contains customary representations and warranties and customary affirmative and negative covenants. The negative covenants include restrictions on, among other things, indebtedness, liens, investments, mergers, dispositions, transactions with affiliates and dividends and other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conclusion of the loan agreement, the Company granted warrants to the lender. Based on their contractual terms, the warrants do not meet the fixed-for-fixed criterion under IAS 32 and are therefore classified as derivative financial liabilities. The warrants were initially recognized at fair value and are subsequently measured at fair value through profit or loss in accordance with IFRS 9. The fair value of the warrants as at December 31, 2025 amounted to EUR 1,445 thousand. Upon drawdown of the loan the fair value will be accounted for as directly attributable transaction cost and recognized as part of the effective interest rate of the underlying loan. The amount will be amortized over the term of the loan using the effective interest method. The costs were accrued in other assets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financial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Capital management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primary objective when managing capital is to ensure sufficient liquidity to support its operations and execute its growth strategy while maintaining its ability to continue as a going concern. Capital is managed with a strong focus on liquidity management and funding flexibility, taking into account the Group’s cash position, forecasted cash outflows and access to equity and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of IQM reviews the total amount of cash of the Group on a regular basis. As part of this review, the management considers the total cash, the cash outflow, and refinancing activities (via issue of equity or debt). To ensure the Group’s liquidity and the value of its equity to be able optimally set up in case that future opportunities arise.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risk management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is exposed to the following risks arising from financial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Liquidity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risk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IQM is exposed to market risk such as interest rate and currency risk, these are considered insignificant due to IQM’s capital structure and composition of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IQM’s risk management strategy aims to identify and analyze the risks to which IQM is exposed and to set appropriate controls to monitor risks as well as ensuring compliance with regard to these risks and the prevention of any concentration of risks.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IQM’s main financial liabilities include trade payables, loans, warrants and lease liabilities. The primary purpose of these financial liabilities is to finance IQM’s operations and provide guarantees to support its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1"/>
        <w:gridCol w:w="9684"/>
      </w:tblGrid>
      <w:tr>
        <w:trPr/>
        <w:tc>
          <w:tcPr>
            <w:tcW w:w="521" w:type="dxa"/>
            <w:tcBorders/>
          </w:tcPr>
          <w:p>
            <w:pPr>
              <w:pStyle w:val="TableContents"/>
              <w:bidi w:val="0"/>
              <w:spacing w:before="0" w:after="283"/>
              <w:jc w:val="left"/>
              <w:rPr>
                <w:b/>
              </w:rPr>
            </w:pPr>
            <w:r>
              <w:rPr>
                <w:b/>
              </w:rPr>
              <w:t>9.2.1.</w:t>
            </w:r>
          </w:p>
        </w:tc>
        <w:tc>
          <w:tcPr>
            <w:tcW w:w="96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Credit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Credit risk is the risk that a counterparty will not meet its obligation under a financial instrument or customer contract, leading to a financial loss. Credit risk comprises both the direct risk of default as well as the risk of decrease of creditworthiness and concentration risk. </w:t>
      </w:r>
    </w:p>
    <w:p>
      <w:pPr>
        <w:pStyle w:val="TextBody"/>
        <w:bidi w:val="0"/>
        <w:spacing w:before="240" w:after="0"/>
        <w:jc w:val="left"/>
        <w:rPr>
          <w:rFonts w:ascii="Times New Roman" w:hAnsi="Times New Roman"/>
          <w:sz w:val="20"/>
        </w:rPr>
      </w:pPr>
      <w:r>
        <w:rPr>
          <w:rFonts w:ascii="Times New Roman" w:hAnsi="Times New Roman"/>
          <w:sz w:val="20"/>
        </w:rPr>
        <w:t xml:space="preserve">The extent of the credit risk for the Group corresponds to the total amount of trade receivables and contract assets, other financial assets and cash and bank balances. The maximum credit risk in the event of counterparty default is limited to the respective carrying amounts of these financial instruments as of the balance sheet dates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credit risk associated with financial transactions is managed centrally by the finance department. Within the scope of uniform risk management, counterparty risk is assessed and monitored consistently. The Group’s objective is to minimize the risk of default. </w:t>
      </w:r>
    </w:p>
    <w:p>
      <w:pPr>
        <w:pStyle w:val="TextBody"/>
        <w:bidi w:val="0"/>
        <w:spacing w:before="240" w:after="0"/>
        <w:jc w:val="left"/>
        <w:rPr>
          <w:rFonts w:ascii="Times New Roman" w:hAnsi="Times New Roman"/>
          <w:sz w:val="20"/>
        </w:rPr>
      </w:pPr>
      <w:r>
        <w:rPr>
          <w:rFonts w:ascii="Times New Roman" w:hAnsi="Times New Roman"/>
          <w:sz w:val="20"/>
        </w:rPr>
        <w:t xml:space="preserve">To reduce the risk of a default, financial transactions are carried out exclusively within customer segment- and country-specific, short-term payment deadlines and with banks as well as other partners with preferably, an investment grade rating. Additionally, to monitor the risk of trade receivables defaulting, IQM actively tracks its outstanding invoices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Besides actively monitoring and managing risks, trade receivables at IQM are deemed to have low credit risk since the financial instruments have a low risk of default as the Group operates in a business-to-business market. Furthermore, based on historical data, the customers of IQM generally have strong capacities to meet their contractual obligation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Under the simplified approach in accordance with IFRS 9, IQM recognizes lifetime expected credit losses on trade receivables from initial recognition. Impairment losses are assessed and recognized on an individual debtor basis only once a receivable becomes credit-impaired. </w:t>
      </w:r>
    </w:p>
    <w:p>
      <w:pPr>
        <w:pStyle w:val="TextBody"/>
        <w:bidi w:val="0"/>
        <w:spacing w:before="120" w:after="0"/>
        <w:jc w:val="left"/>
        <w:rPr>
          <w:rFonts w:ascii="Times New Roman" w:hAnsi="Times New Roman"/>
          <w:sz w:val="20"/>
        </w:rPr>
      </w:pPr>
      <w:r>
        <w:rPr>
          <w:rFonts w:ascii="Times New Roman" w:hAnsi="Times New Roman"/>
          <w:sz w:val="20"/>
        </w:rPr>
        <w:t xml:space="preserve">To measure expected credit losses, trade receivables were grouped based on common credit risk characteristics and days past due. The expected loss rates are based on the payment profiles of sales over a period of 12 months prior to the relevant reporting dates and the corresponding historical defaults during this period. Expected credit losses are therefore determined on the basis of historical data and a short observation horizon consistent with the Groups payment terms. </w:t>
      </w:r>
    </w:p>
    <w:p>
      <w:pPr>
        <w:pStyle w:val="TextBody"/>
        <w:bidi w:val="0"/>
        <w:spacing w:before="240" w:after="0"/>
        <w:jc w:val="left"/>
        <w:rPr>
          <w:rFonts w:ascii="Times New Roman" w:hAnsi="Times New Roman"/>
          <w:sz w:val="20"/>
        </w:rPr>
      </w:pPr>
      <w:r>
        <w:rPr>
          <w:rFonts w:ascii="Times New Roman" w:hAnsi="Times New Roman"/>
          <w:sz w:val="20"/>
        </w:rPr>
        <w:t xml:space="preserve">The Group considers a financial asset to be in default when the debtor is unlikely to pay its credit obligations to the Group in full, without recourse by the Group to actions such as realizing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effect is recognized in profit or loss as impairment losses (including reversals of impairment losses) on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The gross carrying amount of the trade receivables by days past due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9"/>
        <w:gridCol w:w="139"/>
        <w:gridCol w:w="83"/>
        <w:gridCol w:w="782"/>
        <w:gridCol w:w="276"/>
        <w:gridCol w:w="81"/>
        <w:gridCol w:w="94"/>
        <w:gridCol w:w="889"/>
        <w:gridCol w:w="276"/>
        <w:gridCol w:w="81"/>
        <w:gridCol w:w="146"/>
        <w:gridCol w:w="1080"/>
        <w:gridCol w:w="276"/>
        <w:gridCol w:w="81"/>
        <w:gridCol w:w="145"/>
        <w:gridCol w:w="1080"/>
        <w:gridCol w:w="276"/>
        <w:gridCol w:w="81"/>
        <w:gridCol w:w="117"/>
        <w:gridCol w:w="866"/>
        <w:gridCol w:w="276"/>
        <w:gridCol w:w="81"/>
        <w:gridCol w:w="60"/>
        <w:gridCol w:w="680"/>
        <w:gridCol w:w="70"/>
      </w:tblGrid>
      <w:tr>
        <w:trPr/>
        <w:tc>
          <w:tcPr>
            <w:tcW w:w="218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2025</w:t>
            </w:r>
          </w:p>
        </w:tc>
        <w:tc>
          <w:tcPr>
            <w:tcW w:w="139"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30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31 - 60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61 - 90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Expected credit loss rate</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0.45</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1.47</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0.56</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Gross Trade Receivables as of December 31, 2025</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6,722</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8,815</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110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15,647</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7,322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7,322</w:t>
            </w:r>
          </w:p>
        </w:tc>
        <w:tc>
          <w:tcPr>
            <w:tcW w:w="70" w:type="dxa"/>
            <w:tcBorders/>
            <w:shd w:fill="CCEEFF" w:val="clear"/>
            <w:vAlign w:val="bottom"/>
          </w:tcPr>
          <w:p>
            <w:pPr>
              <w:pStyle w:val="TableContents"/>
              <w:bidi w:val="0"/>
              <w:spacing w:before="0" w:after="283"/>
              <w:jc w:val="left"/>
              <w:rPr/>
            </w:pPr>
            <w:r>
              <w:rPr/>
              <w:t> </w:t>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Expected credit losses</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63</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130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193</w:t>
            </w:r>
          </w:p>
        </w:tc>
        <w:tc>
          <w:tcPr>
            <w:tcW w:w="70"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rHeight w:val="240" w:hRule="atLeast"/>
        </w:trPr>
        <w:tc>
          <w:tcPr>
            <w:tcW w:w="2189"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583"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891" w:type="dxa"/>
            <w:gridSpan w:val="4"/>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2024</w:t>
            </w:r>
          </w:p>
        </w:tc>
        <w:tc>
          <w:tcPr>
            <w:tcW w:w="139"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30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31 - 60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61 - 90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Expected credit loss rate</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0.02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1.69</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Gross Trade Receivables as of December 31, 2024</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1,457</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609</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2,066</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1,022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1,022</w:t>
            </w:r>
          </w:p>
        </w:tc>
        <w:tc>
          <w:tcPr>
            <w:tcW w:w="70" w:type="dxa"/>
            <w:tcBorders/>
            <w:shd w:fill="CCEEFF" w:val="clear"/>
            <w:vAlign w:val="bottom"/>
          </w:tcPr>
          <w:p>
            <w:pPr>
              <w:pStyle w:val="TableContents"/>
              <w:bidi w:val="0"/>
              <w:spacing w:before="0" w:after="283"/>
              <w:jc w:val="left"/>
              <w:rPr/>
            </w:pPr>
            <w:r>
              <w:rPr/>
              <w:t> </w:t>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Expected credit losses</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i/>
              </w:rPr>
            </w:pPr>
            <w:r>
              <w:rPr>
                <w:i/>
              </w:rPr>
              <w:t>1</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i/>
              </w:rPr>
            </w:pPr>
            <w:r>
              <w:rPr>
                <w:i/>
              </w:rPr>
              <w:t>10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i/>
              </w:rPr>
            </w:pPr>
            <w:r>
              <w:rPr>
                <w:b/>
                <w:i/>
              </w:rPr>
              <w:t>11</w:t>
            </w:r>
          </w:p>
        </w:tc>
        <w:tc>
          <w:tcPr>
            <w:tcW w:w="70"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specific allowance on trade receivables developed as follows for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65"/>
        <w:gridCol w:w="324"/>
        <w:gridCol w:w="68"/>
        <w:gridCol w:w="435"/>
        <w:gridCol w:w="60"/>
        <w:gridCol w:w="324"/>
        <w:gridCol w:w="68"/>
        <w:gridCol w:w="435"/>
        <w:gridCol w:w="176"/>
      </w:tblGrid>
      <w:tr>
        <w:trPr/>
        <w:tc>
          <w:tcPr>
            <w:tcW w:w="586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6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4"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6" w:type="dxa"/>
            <w:tcBorders/>
            <w:vAlign w:val="bottom"/>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30</w:t>
            </w:r>
          </w:p>
        </w:tc>
        <w:tc>
          <w:tcPr>
            <w:tcW w:w="176" w:type="dxa"/>
            <w:tcBorders/>
            <w:shd w:fill="CCEEFF" w:val="clear"/>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5865"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182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(19</w:t>
            </w:r>
          </w:p>
        </w:tc>
        <w:tc>
          <w:tcPr>
            <w:tcW w:w="176" w:type="dxa"/>
            <w:tcBorders/>
            <w:shd w:fill="CCEEFF" w:val="clear"/>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58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b/>
              </w:rPr>
            </w:pPr>
            <w:r>
              <w:rPr>
                <w:b/>
              </w:rPr>
              <w:t>193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b/>
              </w:rPr>
            </w:pPr>
            <w:r>
              <w:rPr>
                <w:b/>
              </w:rPr>
              <w:t>11</w:t>
            </w:r>
          </w:p>
        </w:tc>
        <w:tc>
          <w:tcPr>
            <w:tcW w:w="176" w:type="dxa"/>
            <w:tcBorders/>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also a credit risk regarding cash and bank balances if financial institutions are unable to meet their obligations. Credit risk on cash and bank balances is reduced by having chosen a bank with at least an investment grade credit rating. Based on this, no separate impairment loss is recognized for expected credit losses on cash and bank balances. </w:t>
      </w:r>
    </w:p>
    <w:p>
      <w:pPr>
        <w:pStyle w:val="TextBody"/>
        <w:bidi w:val="0"/>
        <w:spacing w:before="240" w:after="0"/>
        <w:jc w:val="left"/>
        <w:rPr>
          <w:rFonts w:ascii="Times New Roman" w:hAnsi="Times New Roman"/>
          <w:sz w:val="20"/>
        </w:rPr>
      </w:pPr>
      <w:r>
        <w:rPr>
          <w:rFonts w:ascii="Times New Roman" w:hAnsi="Times New Roman"/>
          <w:sz w:val="20"/>
        </w:rPr>
        <w:t xml:space="preserve">As no expected credit losses were recognized cash and cash equivalents, the respective carrying amounts equal the gross carrying amounts and IQM considers them in a single credit risk rating grade. </w:t>
      </w:r>
    </w:p>
    <w:p>
      <w:pPr>
        <w:pStyle w:val="TextBody"/>
        <w:bidi w:val="0"/>
        <w:spacing w:before="360" w:after="0"/>
        <w:jc w:val="left"/>
        <w:rPr>
          <w:rFonts w:ascii="Times New Roman" w:hAnsi="Times New Roman"/>
          <w:b/>
          <w:sz w:val="20"/>
        </w:rPr>
      </w:pPr>
      <w:r>
        <w:rPr>
          <w:rFonts w:ascii="Times New Roman" w:hAnsi="Times New Roman"/>
          <w:b/>
          <w:sz w:val="20"/>
        </w:rPr>
        <w:t xml:space="preserve">9.2.2. 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a company will encounter difficulty in meeting its financial obligations. The Group’s approach to liquidity management is to maintain sufficient cash to meet its obligations as they fall due, under both normal and stressed conditions, without incurring unacceptable losses or damage to the Group’s reputation. One of IQM’s key objectives of liquidity management is to ensure that payment is possible at all times. Management continuously monitors the risk of liquidity bottlenecks. </w:t>
      </w:r>
    </w:p>
    <w:p>
      <w:pPr>
        <w:pStyle w:val="TextBody"/>
        <w:bidi w:val="0"/>
        <w:spacing w:before="240" w:after="0"/>
        <w:jc w:val="left"/>
        <w:rPr>
          <w:rFonts w:ascii="Times New Roman" w:hAnsi="Times New Roman"/>
          <w:sz w:val="20"/>
        </w:rPr>
      </w:pPr>
      <w:r>
        <w:rPr>
          <w:rFonts w:ascii="Times New Roman" w:hAnsi="Times New Roman"/>
          <w:sz w:val="20"/>
        </w:rPr>
        <w:t xml:space="preserve">Ultimately, the responsibility for liquidity risk management lies with the Management, which has established an appropriate approach to managing short-, medium- and long-term financing and liquidity requirements. IQM manages liquidity risks by holding appropriate reserves, as well as by monitoring forecasted and actual cashflows and reconciling the maturity profiles of financial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maturity profile of the Group’s financial liabilities based on contractual undiscounted payments is as: </w:t>
      </w:r>
    </w:p>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1"/>
        <w:gridCol w:w="195"/>
        <w:gridCol w:w="68"/>
        <w:gridCol w:w="782"/>
        <w:gridCol w:w="60"/>
        <w:gridCol w:w="195"/>
        <w:gridCol w:w="95"/>
        <w:gridCol w:w="1111"/>
        <w:gridCol w:w="60"/>
        <w:gridCol w:w="195"/>
        <w:gridCol w:w="75"/>
        <w:gridCol w:w="897"/>
        <w:gridCol w:w="60"/>
        <w:gridCol w:w="195"/>
        <w:gridCol w:w="60"/>
        <w:gridCol w:w="710"/>
        <w:gridCol w:w="60"/>
        <w:gridCol w:w="195"/>
        <w:gridCol w:w="78"/>
        <w:gridCol w:w="916"/>
        <w:gridCol w:w="67"/>
      </w:tblGrid>
      <w:tr>
        <w:trPr/>
        <w:tc>
          <w:tcPr>
            <w:tcW w:w="413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95"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 1 year</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8,855</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2,973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10,368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3,118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16,458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14,660</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7,063</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2,215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3,203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3,115</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6,122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6,122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6,122</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1,445</w:t>
            </w:r>
          </w:p>
        </w:tc>
        <w:tc>
          <w:tcPr>
            <w:tcW w:w="67"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20,383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12,582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b/>
              </w:rPr>
            </w:pPr>
            <w:r>
              <w:rPr>
                <w:b/>
              </w:rPr>
              <w:t>11,004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b/>
              </w:rPr>
            </w:pPr>
            <w:r>
              <w:rPr>
                <w:b/>
              </w:rPr>
              <w:t>43,970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41,260</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1"/>
        <w:gridCol w:w="195"/>
        <w:gridCol w:w="68"/>
        <w:gridCol w:w="782"/>
        <w:gridCol w:w="60"/>
        <w:gridCol w:w="195"/>
        <w:gridCol w:w="95"/>
        <w:gridCol w:w="1111"/>
        <w:gridCol w:w="60"/>
        <w:gridCol w:w="195"/>
        <w:gridCol w:w="75"/>
        <w:gridCol w:w="897"/>
        <w:gridCol w:w="60"/>
        <w:gridCol w:w="195"/>
        <w:gridCol w:w="60"/>
        <w:gridCol w:w="710"/>
        <w:gridCol w:w="60"/>
        <w:gridCol w:w="195"/>
        <w:gridCol w:w="78"/>
        <w:gridCol w:w="916"/>
        <w:gridCol w:w="67"/>
      </w:tblGrid>
      <w:tr>
        <w:trPr/>
        <w:tc>
          <w:tcPr>
            <w:tcW w:w="413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95"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 1 year</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4,412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4,412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4,412</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3,266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11,166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5,304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19,736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17,204</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35,764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43,650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42,506</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6,066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3,203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9,268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9,184</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14,397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14,397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14,397</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13,744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64,530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b/>
              </w:rPr>
            </w:pPr>
            <w:r>
              <w:rPr>
                <w:b/>
              </w:rPr>
              <w:t>13,190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91,464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87,704</w:t>
            </w:r>
          </w:p>
        </w:tc>
        <w:tc>
          <w:tcPr>
            <w:tcW w:w="67"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Financial covenant conditions relate to IQM’s liquidity level. IQM has committed to lenders and guarantors to hold a minimum amount of cash and cash equivalents. A breach of such covenant conditions may result in an increase in the cost of financing or a release of the guarantee limit and loan facility. </w:t>
      </w:r>
    </w:p>
    <w:p>
      <w:pPr>
        <w:pStyle w:val="TextBody"/>
        <w:bidi w:val="0"/>
        <w:spacing w:before="240" w:after="0"/>
        <w:jc w:val="left"/>
        <w:rPr>
          <w:rFonts w:ascii="Times New Roman" w:hAnsi="Times New Roman"/>
          <w:sz w:val="20"/>
        </w:rPr>
      </w:pPr>
      <w:r>
        <w:rPr>
          <w:rFonts w:ascii="Times New Roman" w:hAnsi="Times New Roman"/>
          <w:sz w:val="20"/>
        </w:rPr>
        <w:t xml:space="preserve">The Group’s borrowings and guarantee facilities include financial covenant conditions. Specifically, the following instruments are subject to covenant compliance: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Danske Bank: For details on the loan please refer to Note </w:t>
            </w:r>
            <w:r>
              <w:rPr>
                <w:rFonts w:ascii="Times New Roman" w:hAnsi="Times New Roman"/>
                <w:sz w:val="20"/>
                <w:u w:val="single"/>
              </w:rPr>
              <w:t>8.5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Kreos Loan: For details on the loan please refer to Note </w:t>
            </w:r>
            <w:r>
              <w:rPr>
                <w:rFonts w:ascii="Times New Roman" w:hAnsi="Times New Roman"/>
                <w:sz w:val="20"/>
                <w:u w:val="single"/>
              </w:rPr>
              <w:t>8.5</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Both instruments require the Group to maintain a minimum level of cash and cash equivalents (</w:t>
      </w:r>
      <w:r>
        <w:rPr>
          <w:rFonts w:ascii="Times New Roman" w:hAnsi="Times New Roman"/>
          <w:i/>
          <w:sz w:val="20"/>
        </w:rPr>
        <w:t>liquidity covenant</w:t>
      </w:r>
      <w:r>
        <w:rPr>
          <w:rFonts w:ascii="Times New Roman" w:hAnsi="Times New Roman"/>
          <w:sz w:val="20"/>
        </w:rPr>
        <w:t xml:space="preserve">). Compliance with the covenant conditions is monitored on an ongoing basis. A breach of the covenant conditions could result in an increase in financing costs or the release of the guarantee facility and loan by the respective lender or guarantor. The terms of the financial covenants are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Danske Bank loan: Cash and investments minimum EUR 30,000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Kreos loan: Cash minimum EUR 7,500 thousand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covenant conditions have not been breached. The Group was in compliance with all applicable financial covenants as of the reporting date. No remediation or waiver was required during the reporting period. </w:t>
      </w:r>
    </w:p>
    <w:p>
      <w:pPr>
        <w:pStyle w:val="TextBody"/>
        <w:bidi w:val="0"/>
        <w:spacing w:before="360" w:after="0"/>
        <w:jc w:val="left"/>
        <w:rPr>
          <w:rFonts w:ascii="Times New Roman" w:hAnsi="Times New Roman"/>
          <w:b/>
          <w:sz w:val="20"/>
        </w:rPr>
      </w:pPr>
      <w:r>
        <w:rPr>
          <w:rFonts w:ascii="Times New Roman" w:hAnsi="Times New Roman"/>
          <w:b/>
          <w:sz w:val="20"/>
        </w:rPr>
        <w:t xml:space="preserve">9.2.3. Market risk – 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Interest rate risk is the risk that the fair values or future payments of financial instruments will fluctuate due to changes in market interest rates. The Group’s main interest rate risk is attributable to long-term borrowings with variable interest rates (EURIBOR), which expose the Group to cashflow interest rate risk. </w:t>
      </w:r>
    </w:p>
    <w:p>
      <w:pPr>
        <w:pStyle w:val="TextBody"/>
        <w:bidi w:val="0"/>
        <w:spacing w:before="240" w:after="0"/>
        <w:jc w:val="left"/>
        <w:rPr>
          <w:rFonts w:ascii="Times New Roman" w:hAnsi="Times New Roman"/>
          <w:sz w:val="20"/>
        </w:rPr>
      </w:pPr>
      <w:r>
        <w:rPr>
          <w:rFonts w:ascii="Times New Roman" w:hAnsi="Times New Roman"/>
          <w:sz w:val="20"/>
        </w:rPr>
        <w:t xml:space="preserve">The Group´s borrowings and receivables are carried at amortized cost. One loan is affected by changes in market interest rates. It is contractually adjusted to market interest rates on a regular basis (see below) and is therefore exposed to future changes in market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The Group’s exposure, as a borrower, to changes in interest rates and to contractual interest rate adjustment terms at the end of the reporting period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01"/>
        <w:gridCol w:w="321"/>
        <w:gridCol w:w="75"/>
        <w:gridCol w:w="425"/>
        <w:gridCol w:w="155"/>
        <w:gridCol w:w="321"/>
        <w:gridCol w:w="75"/>
        <w:gridCol w:w="425"/>
        <w:gridCol w:w="157"/>
      </w:tblGrid>
      <w:tr>
        <w:trPr/>
        <w:tc>
          <w:tcPr>
            <w:tcW w:w="5801"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r>
      <w:tr>
        <w:trPr/>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rates - increase by 50 basis points</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(10</w:t>
            </w:r>
          </w:p>
        </w:tc>
        <w:tc>
          <w:tcPr>
            <w:tcW w:w="157" w:type="dxa"/>
            <w:tcBorders/>
            <w:shd w:fill="CCEEFF" w:val="clear"/>
            <w:vAlign w:val="bottom"/>
          </w:tcPr>
          <w:p>
            <w:pPr>
              <w:pStyle w:val="TableContents"/>
              <w:bidi w:val="0"/>
              <w:spacing w:before="0" w:after="283"/>
              <w:jc w:val="left"/>
              <w:rPr/>
            </w:pPr>
            <w:r>
              <w:rPr/>
              <w:t>) </w:t>
            </w:r>
          </w:p>
        </w:tc>
      </w:tr>
      <w:tr>
        <w:trPr/>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rates - increase by 100 basis points</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r>
      <w:tr>
        <w:trPr/>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rates - decrease by 50 basis points</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10</w:t>
            </w:r>
          </w:p>
        </w:tc>
        <w:tc>
          <w:tcPr>
            <w:tcW w:w="157" w:type="dxa"/>
            <w:tcBorders/>
            <w:shd w:fill="CCEEFF" w:val="clear"/>
            <w:vAlign w:val="bottom"/>
          </w:tcPr>
          <w:p>
            <w:pPr>
              <w:pStyle w:val="TableContents"/>
              <w:bidi w:val="0"/>
              <w:spacing w:before="0" w:after="283"/>
              <w:jc w:val="left"/>
              <w:rPr/>
            </w:pPr>
            <w:r>
              <w:rPr/>
              <w:t> </w:t>
            </w:r>
          </w:p>
        </w:tc>
      </w:tr>
      <w:tr>
        <w:trPr/>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rates - decrease by 100 basis points</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r>
      <w:tr>
        <w:trPr/>
        <w:tc>
          <w:tcPr>
            <w:tcW w:w="580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Sensitivity </w:t>
      </w:r>
    </w:p>
    <w:p>
      <w:pPr>
        <w:pStyle w:val="TextBody"/>
        <w:bidi w:val="0"/>
        <w:spacing w:before="120" w:after="0"/>
        <w:jc w:val="left"/>
        <w:rPr>
          <w:rFonts w:ascii="Times New Roman" w:hAnsi="Times New Roman"/>
          <w:sz w:val="20"/>
        </w:rPr>
      </w:pPr>
      <w:r>
        <w:rPr>
          <w:rFonts w:ascii="Times New Roman" w:hAnsi="Times New Roman"/>
          <w:sz w:val="20"/>
        </w:rPr>
        <w:t xml:space="preserve">Profit or loss is sensitive to higher/lower interest income from variable-interest loans as a result of interest rate changes.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6"/>
        <w:gridCol w:w="406"/>
        <w:gridCol w:w="266"/>
        <w:gridCol w:w="1696"/>
        <w:gridCol w:w="275"/>
        <w:gridCol w:w="347"/>
        <w:gridCol w:w="189"/>
        <w:gridCol w:w="1771"/>
        <w:gridCol w:w="275"/>
        <w:gridCol w:w="347"/>
        <w:gridCol w:w="160"/>
        <w:gridCol w:w="1507"/>
        <w:gridCol w:w="280"/>
      </w:tblGrid>
      <w:tr>
        <w:trPr/>
        <w:tc>
          <w:tcPr>
            <w:tcW w:w="2686"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06"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2024</w:t>
            </w:r>
          </w:p>
        </w:tc>
        <w:tc>
          <w:tcPr>
            <w:tcW w:w="280" w:type="dxa"/>
            <w:tcBorders/>
            <w:vAlign w:val="bottom"/>
          </w:tcPr>
          <w:p>
            <w:pPr>
              <w:pStyle w:val="TableContents"/>
              <w:bidi w:val="0"/>
              <w:spacing w:before="0" w:after="283"/>
              <w:jc w:val="left"/>
              <w:rPr/>
            </w:pPr>
            <w:r>
              <w:rPr/>
              <w:t> </w:t>
            </w:r>
          </w:p>
        </w:tc>
      </w:tr>
      <w:tr>
        <w:trPr/>
        <w:tc>
          <w:tcPr>
            <w:tcW w:w="2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rate borrowings</w:t>
            </w:r>
          </w:p>
        </w:tc>
        <w:tc>
          <w:tcPr>
            <w:tcW w:w="40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417</w:t>
            </w:r>
          </w:p>
        </w:tc>
        <w:tc>
          <w:tcPr>
            <w:tcW w:w="27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1,417</w:t>
            </w:r>
          </w:p>
        </w:tc>
        <w:tc>
          <w:tcPr>
            <w:tcW w:w="27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07" w:type="dxa"/>
            <w:tcBorders/>
            <w:shd w:fill="CCEEFF" w:val="clear"/>
            <w:vAlign w:val="bottom"/>
          </w:tcPr>
          <w:p>
            <w:pPr>
              <w:pStyle w:val="TableContents"/>
              <w:bidi w:val="0"/>
              <w:spacing w:before="0" w:after="283"/>
              <w:jc w:val="right"/>
              <w:rPr/>
            </w:pPr>
            <w:r>
              <w:rPr/>
              <w:t>2,417</w:t>
            </w:r>
          </w:p>
        </w:tc>
        <w:tc>
          <w:tcPr>
            <w:tcW w:w="280" w:type="dxa"/>
            <w:tcBorders/>
            <w:shd w:fill="CCEEFF" w:val="clear"/>
            <w:vAlign w:val="bottom"/>
          </w:tcPr>
          <w:p>
            <w:pPr>
              <w:pStyle w:val="TableContents"/>
              <w:bidi w:val="0"/>
              <w:spacing w:before="0" w:after="283"/>
              <w:jc w:val="left"/>
              <w:rPr/>
            </w:pPr>
            <w:r>
              <w:rPr/>
              <w:t> </w:t>
            </w:r>
          </w:p>
        </w:tc>
      </w:tr>
      <w:tr>
        <w:trPr/>
        <w:tc>
          <w:tcPr>
            <w:tcW w:w="2686" w:type="dxa"/>
            <w:tcBorders/>
          </w:tcPr>
          <w:p>
            <w:pPr>
              <w:pStyle w:val="TableContents"/>
              <w:bidi w:val="0"/>
              <w:spacing w:before="0" w:after="0"/>
              <w:jc w:val="left"/>
              <w:rPr>
                <w:rFonts w:ascii="Times New Roman" w:hAnsi="Times New Roman"/>
                <w:sz w:val="20"/>
              </w:rPr>
            </w:pPr>
            <w:r>
              <w:rPr>
                <w:rFonts w:ascii="Times New Roman" w:hAnsi="Times New Roman"/>
                <w:sz w:val="20"/>
              </w:rPr>
              <w:t>% of total borrowings</w:t>
            </w:r>
          </w:p>
        </w:tc>
        <w:tc>
          <w:tcPr>
            <w:tcW w:w="40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07" w:type="dxa"/>
            <w:tcBorders/>
            <w:vAlign w:val="bottom"/>
          </w:tcPr>
          <w:p>
            <w:pPr>
              <w:pStyle w:val="TableContents"/>
              <w:bidi w:val="0"/>
              <w:spacing w:before="0" w:after="283"/>
              <w:jc w:val="right"/>
              <w:rPr/>
            </w:pPr>
            <w:r>
              <w:rPr/>
              <w:t>6</w:t>
            </w:r>
          </w:p>
        </w:tc>
        <w:tc>
          <w:tcPr>
            <w:tcW w:w="280" w:type="dxa"/>
            <w:tcBorders/>
            <w:vAlign w:val="bottom"/>
          </w:tcPr>
          <w:p>
            <w:pPr>
              <w:pStyle w:val="TableContents"/>
              <w:bidi w:val="0"/>
              <w:spacing w:before="0" w:after="283"/>
              <w:jc w:val="left"/>
              <w:rPr/>
            </w:pPr>
            <w:r>
              <w:rPr/>
              <w:t>% </w:t>
            </w:r>
          </w:p>
        </w:tc>
      </w:tr>
      <w:tr>
        <w:trPr/>
        <w:tc>
          <w:tcPr>
            <w:tcW w:w="2686"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69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50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Carrying amounts and fair values of financial instruments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8"/>
        <w:gridCol w:w="236"/>
        <w:gridCol w:w="1811"/>
        <w:gridCol w:w="236"/>
        <w:gridCol w:w="67"/>
        <w:gridCol w:w="906"/>
        <w:gridCol w:w="60"/>
        <w:gridCol w:w="236"/>
        <w:gridCol w:w="76"/>
        <w:gridCol w:w="1051"/>
        <w:gridCol w:w="60"/>
        <w:gridCol w:w="236"/>
        <w:gridCol w:w="102"/>
        <w:gridCol w:w="987"/>
        <w:gridCol w:w="60"/>
        <w:gridCol w:w="235"/>
        <w:gridCol w:w="316"/>
        <w:gridCol w:w="762"/>
        <w:gridCol w:w="70"/>
      </w:tblGrid>
      <w:tr>
        <w:trPr/>
        <w:tc>
          <w:tcPr>
            <w:tcW w:w="2698"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98" w:type="dxa"/>
            <w:tcBorders/>
            <w:vAlign w:val="bottom"/>
          </w:tcPr>
          <w:p>
            <w:pPr>
              <w:pStyle w:val="TableContents"/>
              <w:bidi w:val="0"/>
              <w:spacing w:before="0" w:after="283"/>
              <w:jc w:val="left"/>
              <w:rPr>
                <w:i/>
              </w:rPr>
            </w:pPr>
            <w:r>
              <w:rPr>
                <w:i/>
              </w:rPr>
              <w:t>in EUR thousand</w:t>
            </w:r>
          </w:p>
        </w:tc>
        <w:tc>
          <w:tcPr>
            <w:tcW w:w="236" w:type="dxa"/>
            <w:tcBorders/>
            <w:vAlign w:val="bottom"/>
          </w:tcPr>
          <w:p>
            <w:pPr>
              <w:pStyle w:val="TableContents"/>
              <w:bidi w:val="0"/>
              <w:spacing w:before="0" w:after="283"/>
              <w:jc w:val="left"/>
              <w:rPr/>
            </w:pPr>
            <w:r>
              <w:rPr/>
              <w:t>  </w:t>
            </w:r>
          </w:p>
        </w:tc>
        <w:tc>
          <w:tcPr>
            <w:tcW w:w="1811" w:type="dxa"/>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236"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financial assets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15,489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15,489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FVtPL</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876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876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146,544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146,544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6,215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2,158</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2,158</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1,975</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8,855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8,855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FVtPL</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6,122</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6,122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3</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FVtPL</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3</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2"/>
        <w:gridCol w:w="235"/>
        <w:gridCol w:w="1831"/>
        <w:gridCol w:w="235"/>
        <w:gridCol w:w="78"/>
        <w:gridCol w:w="906"/>
        <w:gridCol w:w="60"/>
        <w:gridCol w:w="235"/>
        <w:gridCol w:w="89"/>
        <w:gridCol w:w="1051"/>
        <w:gridCol w:w="60"/>
        <w:gridCol w:w="235"/>
        <w:gridCol w:w="85"/>
        <w:gridCol w:w="982"/>
        <w:gridCol w:w="60"/>
        <w:gridCol w:w="235"/>
        <w:gridCol w:w="320"/>
        <w:gridCol w:w="738"/>
        <w:gridCol w:w="68"/>
      </w:tblGrid>
      <w:tr>
        <w:trPr/>
        <w:tc>
          <w:tcPr>
            <w:tcW w:w="270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02" w:type="dxa"/>
            <w:tcBorders/>
            <w:vAlign w:val="bottom"/>
          </w:tcPr>
          <w:p>
            <w:pPr>
              <w:pStyle w:val="TableContents"/>
              <w:bidi w:val="0"/>
              <w:spacing w:before="0" w:after="283"/>
              <w:jc w:val="left"/>
              <w:rPr>
                <w:i/>
              </w:rPr>
            </w:pPr>
            <w:r>
              <w:rPr>
                <w:i/>
              </w:rPr>
              <w:t>in EUR thousand</w:t>
            </w:r>
          </w:p>
        </w:tc>
        <w:tc>
          <w:tcPr>
            <w:tcW w:w="235" w:type="dxa"/>
            <w:tcBorders/>
            <w:vAlign w:val="bottom"/>
          </w:tcPr>
          <w:p>
            <w:pPr>
              <w:pStyle w:val="TableContents"/>
              <w:bidi w:val="0"/>
              <w:spacing w:before="0" w:after="283"/>
              <w:jc w:val="left"/>
              <w:rPr/>
            </w:pPr>
            <w:r>
              <w:rPr/>
              <w:t>  </w:t>
            </w:r>
          </w:p>
        </w:tc>
        <w:tc>
          <w:tcPr>
            <w:tcW w:w="1831" w:type="dxa"/>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235"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2,056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2,056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FVtPL</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849</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849</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17,247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17,247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AC</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42,506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42,506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37,433</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4,107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4,107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2,866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FVtPL</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14,397</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14,397</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3</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AC</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4,412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4,412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the short-term nature of the Group’s financial instruments, the carrying amounts of the Group’s cash and cash equivalents, trade receivables, trade payables and current financial liabilities from credit institutions are deemed a reasonable approximation of its fair value. The fair value of long-term rental deposits approximates their carrying amount. </w:t>
      </w:r>
    </w:p>
    <w:p>
      <w:pPr>
        <w:pStyle w:val="TextBody"/>
        <w:bidi w:val="0"/>
        <w:spacing w:before="240" w:after="0"/>
        <w:jc w:val="left"/>
        <w:rPr>
          <w:rFonts w:ascii="Times New Roman" w:hAnsi="Times New Roman"/>
          <w:sz w:val="20"/>
        </w:rPr>
      </w:pPr>
      <w:r>
        <w:rPr>
          <w:rFonts w:ascii="Times New Roman" w:hAnsi="Times New Roman"/>
          <w:sz w:val="20"/>
        </w:rPr>
        <w:t xml:space="preserve">The current investment fund is classified as a financial asset at fair value through profit or loss, as it does not meet the solely payments of principal and interest (SPPI) criterion under IFRS 9. Fair value is determined based on observable inputs and the investment is categorized as Level 2 in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Non-current financial liabilities are assigned to level 2 as the lowest level input that is significant to the fair value measurement is directly or indirectly observable: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 non-current financial liabilities to credit institutions and convertible loans were calculated using a discounted cashflow model based on risk-free market interest rates in the form of Finnish government bonds, and a credit risk premium derived from corporate bonds with a corresponding rating and term as IQM. The credit risk of IQM and the credit risk premium resulting therefrom is an unobservable input. </w:t>
      </w:r>
    </w:p>
    <w:p>
      <w:pPr>
        <w:pStyle w:val="TextBody"/>
        <w:bidi w:val="0"/>
        <w:spacing w:before="240" w:after="0"/>
        <w:jc w:val="left"/>
        <w:rPr>
          <w:rFonts w:ascii="Times New Roman" w:hAnsi="Times New Roman"/>
          <w:sz w:val="20"/>
        </w:rPr>
      </w:pPr>
      <w:r>
        <w:rPr>
          <w:rFonts w:ascii="Times New Roman" w:hAnsi="Times New Roman"/>
          <w:sz w:val="20"/>
        </w:rPr>
        <w:t xml:space="preserve">Short-term financial liabilities to credit institutions as at 31 December 2025 comprise the contractual principal repayments due within the next twelve months under the Danske Bank loan and the government loan.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Level 3 Fair Values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values of the embedded derivatives were determined using Level 3 valuation techniques, incorporating assumptions regarding future equity values, conversion probabilities and risk-free market interest rates. Key inputs to the valuation are not observable in the market. </w:t>
      </w:r>
    </w:p>
    <w:p>
      <w:pPr>
        <w:pStyle w:val="TextBody"/>
        <w:bidi w:val="0"/>
        <w:spacing w:before="240" w:after="0"/>
        <w:jc w:val="left"/>
        <w:rPr>
          <w:rFonts w:ascii="Times New Roman" w:hAnsi="Times New Roman"/>
          <w:sz w:val="20"/>
        </w:rPr>
      </w:pPr>
      <w:r>
        <w:rPr>
          <w:rFonts w:ascii="Times New Roman" w:hAnsi="Times New Roman"/>
          <w:sz w:val="20"/>
        </w:rPr>
        <w:t xml:space="preserve">The embedded conversion feature of the Aalto convertible loans is measured at fair value and falls within Level 3 of the fair value hierarchy. The fair value was determined using the Black-Scholes option pricing model. The valuation incorporates significant unobservable inputs, in particular the underlying share price and the expected volatility of the shares, which are therefore classified as Level 3 inputs within the fair value hierarchy. See the inputs used for the respective valuation dates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Kreos warrants are accounted for as a derivative financial liability and were measured at fair value using the Black-Scholes option pricing model. The fair value measurement is based on significant unobservable inputs, most notably the underlying share price and the expected share volatility. Given the materiality of these inputs to the overall valuation, the instrument is classified within Level 3 of the fair value hierarchy. As of December 31, 2025 the inputs used were the same as for the conversion feature (see also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embedded conversion feature of the EIB Convertible Loan is measured at fair value through profit and loss and falls within Level 3 of the fair value hierarchy. The fair value was determined using a Monte Carlo simulation model, which simulates the development of the Company’s equity value to an assumed exit date of June 30, 2026. The valuation incorporates significant unobservable inputs, in particular the underlying share price and the expected share price volatility, which are therefore classified as Level 3 inputs within the fair value hierarchy. The model is applied separately to each tranche: for Tranche A (EUR 25,000 thousand, disbursed May 2022), the conversion price is fixed following a Qualified Equity Financing (QEF) in July 2022 and equals the QEF share price plus a contractual premium of 5%; for Tranche B (EUR 10,000 thousand, disbursed April 2024), the conversion price was not yet determinable at the reporting date and is derived within the simulation. See the inputs used for the respective valuation dates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significant unobservable inputs applied in all models are the Company’s equity value at the respective reporting dates and the expected volatility of the shares. All inputs are classified as Level 3 within the fair value hierarchy. See the inputs used for the respective valuation dates in the table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8"/>
        <w:gridCol w:w="364"/>
        <w:gridCol w:w="97"/>
        <w:gridCol w:w="1204"/>
        <w:gridCol w:w="60"/>
        <w:gridCol w:w="364"/>
        <w:gridCol w:w="77"/>
        <w:gridCol w:w="960"/>
        <w:gridCol w:w="281"/>
      </w:tblGrid>
      <w:tr>
        <w:trPr/>
        <w:tc>
          <w:tcPr>
            <w:tcW w:w="4348"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34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Date</w:t>
            </w:r>
          </w:p>
        </w:tc>
        <w:tc>
          <w:tcPr>
            <w:tcW w:w="364" w:type="dxa"/>
            <w:tcBorders/>
            <w:vAlign w:val="bottom"/>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 Price</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Volatility</w:t>
            </w:r>
          </w:p>
        </w:tc>
        <w:tc>
          <w:tcPr>
            <w:tcW w:w="281" w:type="dxa"/>
            <w:tcBorders/>
            <w:vAlign w:val="bottom"/>
          </w:tcPr>
          <w:p>
            <w:pPr>
              <w:pStyle w:val="TableContents"/>
              <w:bidi w:val="0"/>
              <w:spacing w:before="0" w:after="283"/>
              <w:jc w:val="left"/>
              <w:rPr/>
            </w:pPr>
            <w:r>
              <w:rPr/>
              <w:t> </w:t>
            </w:r>
          </w:p>
        </w:tc>
      </w:tr>
      <w:tr>
        <w:trPr/>
        <w:tc>
          <w:tcPr>
            <w:tcW w:w="4348" w:type="dxa"/>
            <w:tcBorders/>
            <w:shd w:fill="CCEEFF" w:val="clear"/>
          </w:tcPr>
          <w:p>
            <w:pPr>
              <w:pStyle w:val="TableContents"/>
              <w:bidi w:val="0"/>
              <w:spacing w:before="0" w:after="283"/>
              <w:jc w:val="left"/>
              <w:rPr/>
            </w:pPr>
            <w:r>
              <w:rPr/>
              <w:t>December 31, 2023</w:t>
            </w:r>
          </w:p>
        </w:tc>
        <w:tc>
          <w:tcPr>
            <w:tcW w:w="3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410.94</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93.10</w:t>
            </w:r>
          </w:p>
        </w:tc>
        <w:tc>
          <w:tcPr>
            <w:tcW w:w="281" w:type="dxa"/>
            <w:tcBorders/>
            <w:shd w:fill="CCEEFF" w:val="clear"/>
            <w:vAlign w:val="bottom"/>
          </w:tcPr>
          <w:p>
            <w:pPr>
              <w:pStyle w:val="TableContents"/>
              <w:bidi w:val="0"/>
              <w:spacing w:before="0" w:after="283"/>
              <w:jc w:val="left"/>
              <w:rPr/>
            </w:pPr>
            <w:r>
              <w:rPr/>
              <w:t>% </w:t>
            </w:r>
          </w:p>
        </w:tc>
      </w:tr>
      <w:tr>
        <w:trPr/>
        <w:tc>
          <w:tcPr>
            <w:tcW w:w="4348" w:type="dxa"/>
            <w:tcBorders/>
          </w:tcPr>
          <w:p>
            <w:pPr>
              <w:pStyle w:val="TableContents"/>
              <w:bidi w:val="0"/>
              <w:spacing w:before="0" w:after="283"/>
              <w:jc w:val="left"/>
              <w:rPr/>
            </w:pPr>
            <w:r>
              <w:rPr/>
              <w:t>December 31, 2024</w:t>
            </w:r>
          </w:p>
        </w:tc>
        <w:tc>
          <w:tcPr>
            <w:tcW w:w="3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410.94</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127.26</w:t>
            </w:r>
          </w:p>
        </w:tc>
        <w:tc>
          <w:tcPr>
            <w:tcW w:w="281" w:type="dxa"/>
            <w:tcBorders/>
            <w:vAlign w:val="bottom"/>
          </w:tcPr>
          <w:p>
            <w:pPr>
              <w:pStyle w:val="TableContents"/>
              <w:bidi w:val="0"/>
              <w:spacing w:before="0" w:after="283"/>
              <w:jc w:val="left"/>
              <w:rPr/>
            </w:pPr>
            <w:r>
              <w:rPr/>
              <w:t>% </w:t>
            </w:r>
          </w:p>
        </w:tc>
      </w:tr>
      <w:tr>
        <w:trPr/>
        <w:tc>
          <w:tcPr>
            <w:tcW w:w="4348" w:type="dxa"/>
            <w:tcBorders/>
            <w:shd w:fill="CCEEFF" w:val="clear"/>
          </w:tcPr>
          <w:p>
            <w:pPr>
              <w:pStyle w:val="TableContents"/>
              <w:bidi w:val="0"/>
              <w:spacing w:before="0" w:after="283"/>
              <w:jc w:val="left"/>
              <w:rPr/>
            </w:pPr>
            <w:r>
              <w:rPr/>
              <w:t>December 31, 2025</w:t>
            </w:r>
          </w:p>
        </w:tc>
        <w:tc>
          <w:tcPr>
            <w:tcW w:w="3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474.86</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102.56</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from the opening balance to the closing balance for recurring fair value measurements categorized within Level 3 of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652"/>
        <w:gridCol w:w="533"/>
        <w:gridCol w:w="177"/>
        <w:gridCol w:w="2128"/>
        <w:gridCol w:w="155"/>
        <w:gridCol w:w="480"/>
        <w:gridCol w:w="97"/>
        <w:gridCol w:w="919"/>
        <w:gridCol w:w="64"/>
      </w:tblGrid>
      <w:tr>
        <w:trPr/>
        <w:tc>
          <w:tcPr>
            <w:tcW w:w="5652"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5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33" w:type="dxa"/>
            <w:tcBorders/>
            <w:vAlign w:val="bottom"/>
          </w:tcPr>
          <w:p>
            <w:pPr>
              <w:pStyle w:val="TableContents"/>
              <w:bidi w:val="0"/>
              <w:spacing w:before="0" w:after="283"/>
              <w:jc w:val="left"/>
              <w:rPr/>
            </w:pPr>
            <w:r>
              <w:rPr/>
              <w:t>  </w:t>
            </w:r>
          </w:p>
        </w:tc>
        <w:tc>
          <w:tcPr>
            <w:tcW w:w="2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w:t>
              <w:br/>
              <w:t>financial liabilities</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128" w:type="dxa"/>
            <w:tcBorders/>
            <w:shd w:fill="CCEEFF" w:val="clear"/>
            <w:vAlign w:val="bottom"/>
          </w:tcPr>
          <w:p>
            <w:pPr>
              <w:pStyle w:val="TableContents"/>
              <w:bidi w:val="0"/>
              <w:spacing w:before="0" w:after="283"/>
              <w:jc w:val="right"/>
              <w:rPr>
                <w:b/>
              </w:rPr>
            </w:pPr>
            <w:r>
              <w:rPr>
                <w:b/>
              </w:rPr>
              <w:t>14,397</w:t>
            </w:r>
          </w:p>
        </w:tc>
        <w:tc>
          <w:tcPr>
            <w:tcW w:w="15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instruments issued during the reporting period</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1,445</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52"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pPr>
            <w:r>
              <w:rPr/>
              <w:t>(1,130</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instruments derecognized during the reporting period</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128" w:type="dxa"/>
            <w:tcBorders/>
            <w:shd w:fill="CCEEFF" w:val="clear"/>
            <w:vAlign w:val="bottom"/>
          </w:tcPr>
          <w:p>
            <w:pPr>
              <w:pStyle w:val="TableContents"/>
              <w:bidi w:val="0"/>
              <w:spacing w:before="0" w:after="283"/>
              <w:jc w:val="right"/>
              <w:rPr/>
            </w:pPr>
            <w:r>
              <w:rPr/>
              <w:t>(7,145</w:t>
            </w:r>
          </w:p>
        </w:tc>
        <w:tc>
          <w:tcPr>
            <w:tcW w:w="15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b/>
              </w:rPr>
            </w:pPr>
            <w:r>
              <w:rPr>
                <w:b/>
              </w:rPr>
              <w:t>6,122</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b/>
              </w:rPr>
            </w:pPr>
            <w:r>
              <w:rPr>
                <w:b/>
              </w:rPr>
              <w:t>1,445</w:t>
            </w:r>
          </w:p>
        </w:tc>
        <w:tc>
          <w:tcPr>
            <w:tcW w:w="64"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750"/>
        <w:gridCol w:w="903"/>
        <w:gridCol w:w="253"/>
        <w:gridCol w:w="2876"/>
        <w:gridCol w:w="157"/>
      </w:tblGrid>
      <w:tr>
        <w:trPr/>
        <w:tc>
          <w:tcPr>
            <w:tcW w:w="2750" w:type="dxa"/>
            <w:tcBorders/>
            <w:vAlign w:val="center"/>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903" w:type="dxa"/>
            <w:tcBorders/>
            <w:vAlign w:val="bottom"/>
          </w:tcPr>
          <w:p>
            <w:pPr>
              <w:pStyle w:val="TableContents"/>
              <w:bidi w:val="0"/>
              <w:spacing w:before="0" w:after="283"/>
              <w:jc w:val="left"/>
              <w:rPr/>
            </w:pPr>
            <w:r>
              <w:rPr/>
              <w:t>  </w:t>
            </w:r>
          </w:p>
        </w:tc>
        <w:tc>
          <w:tcPr>
            <w:tcW w:w="3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 financial</w:t>
              <w:br/>
              <w:t>liabilities</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876" w:type="dxa"/>
            <w:tcBorders/>
            <w:shd w:fill="CCEEFF" w:val="clear"/>
            <w:vAlign w:val="bottom"/>
          </w:tcPr>
          <w:p>
            <w:pPr>
              <w:pStyle w:val="TableContents"/>
              <w:bidi w:val="0"/>
              <w:spacing w:before="0" w:after="283"/>
              <w:jc w:val="right"/>
              <w:rPr>
                <w:b/>
              </w:rPr>
            </w:pPr>
            <w:r>
              <w:rPr>
                <w:b/>
              </w:rPr>
              <w:t>12,057</w:t>
            </w:r>
          </w:p>
        </w:tc>
        <w:tc>
          <w:tcPr>
            <w:tcW w:w="157"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instruments issued during the reporting period</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pPr>
            <w:r>
              <w:rPr/>
              <w:t>3,438</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287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pPr>
            <w:r>
              <w:rPr/>
              <w:t>(1,098</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instruments offset during the reporting period</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8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b/>
              </w:rPr>
            </w:pPr>
            <w:r>
              <w:rPr>
                <w:b/>
              </w:rPr>
              <w:t>14,397</w:t>
            </w:r>
          </w:p>
        </w:tc>
        <w:tc>
          <w:tcPr>
            <w:tcW w:w="157"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different input factors had been applied in the valuation, a different fair value as of December 31, 2025 would have resulted. These hypothetical variances are presented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Conversion feature - Aalto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7"/>
        <w:gridCol w:w="808"/>
        <w:gridCol w:w="60"/>
        <w:gridCol w:w="459"/>
        <w:gridCol w:w="155"/>
        <w:gridCol w:w="808"/>
        <w:gridCol w:w="60"/>
        <w:gridCol w:w="459"/>
        <w:gridCol w:w="159"/>
      </w:tblGrid>
      <w:tr>
        <w:trPr/>
        <w:tc>
          <w:tcPr>
            <w:tcW w:w="4787" w:type="dxa"/>
            <w:tcBorders/>
            <w:vAlign w:val="center"/>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808"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(948</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(941</w:t>
            </w:r>
          </w:p>
        </w:tc>
        <w:tc>
          <w:tcPr>
            <w:tcW w:w="159" w:type="dxa"/>
            <w:tcBorders/>
            <w:shd w:fill="CCEEFF" w:val="clear"/>
            <w:vAlign w:val="bottom"/>
          </w:tcPr>
          <w:p>
            <w:pPr>
              <w:pStyle w:val="TableContents"/>
              <w:bidi w:val="0"/>
              <w:spacing w:before="0" w:after="283"/>
              <w:jc w:val="left"/>
              <w:rPr/>
            </w:pPr>
            <w:r>
              <w:rPr/>
              <w:t>) </w:t>
            </w:r>
          </w:p>
        </w:tc>
      </w:tr>
      <w:tr>
        <w:trPr/>
        <w:tc>
          <w:tcPr>
            <w:tcW w:w="4787"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583</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928</w:t>
            </w:r>
          </w:p>
        </w:tc>
        <w:tc>
          <w:tcPr>
            <w:tcW w:w="159" w:type="dxa"/>
            <w:tcBorders/>
            <w:vAlign w:val="bottom"/>
          </w:tcPr>
          <w:p>
            <w:pPr>
              <w:pStyle w:val="TableContents"/>
              <w:bidi w:val="0"/>
              <w:spacing w:before="0" w:after="283"/>
              <w:jc w:val="left"/>
              <w:rPr/>
            </w:pPr>
            <w:r>
              <w:rPr/>
              <w:t> </w:t>
            </w:r>
          </w:p>
        </w:tc>
      </w:tr>
      <w:tr>
        <w:trPr/>
        <w:tc>
          <w:tcPr>
            <w:tcW w:w="4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(357</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(378</w:t>
            </w:r>
          </w:p>
        </w:tc>
        <w:tc>
          <w:tcPr>
            <w:tcW w:w="159" w:type="dxa"/>
            <w:tcBorders/>
            <w:shd w:fill="CCEEFF" w:val="clear"/>
            <w:vAlign w:val="bottom"/>
          </w:tcPr>
          <w:p>
            <w:pPr>
              <w:pStyle w:val="TableContents"/>
              <w:bidi w:val="0"/>
              <w:spacing w:before="0" w:after="283"/>
              <w:jc w:val="left"/>
              <w:rPr/>
            </w:pPr>
            <w:r>
              <w:rPr/>
              <w:t>) </w:t>
            </w:r>
          </w:p>
        </w:tc>
      </w:tr>
      <w:tr>
        <w:trPr/>
        <w:tc>
          <w:tcPr>
            <w:tcW w:w="4787"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374</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400</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 Kreos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50"/>
        <w:gridCol w:w="874"/>
        <w:gridCol w:w="60"/>
        <w:gridCol w:w="462"/>
        <w:gridCol w:w="155"/>
        <w:gridCol w:w="874"/>
        <w:gridCol w:w="68"/>
        <w:gridCol w:w="448"/>
        <w:gridCol w:w="64"/>
      </w:tblGrid>
      <w:tr>
        <w:trPr/>
        <w:tc>
          <w:tcPr>
            <w:tcW w:w="4750" w:type="dxa"/>
            <w:tcBorders/>
            <w:vAlign w:val="center"/>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874"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50"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50"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134</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Conversion feature - EIB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4"/>
        <w:gridCol w:w="754"/>
        <w:gridCol w:w="68"/>
        <w:gridCol w:w="474"/>
        <w:gridCol w:w="60"/>
        <w:gridCol w:w="754"/>
        <w:gridCol w:w="60"/>
        <w:gridCol w:w="643"/>
        <w:gridCol w:w="158"/>
      </w:tblGrid>
      <w:tr>
        <w:trPr/>
        <w:tc>
          <w:tcPr>
            <w:tcW w:w="4784"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54" w:type="dxa"/>
            <w:tcBorders/>
            <w:vAlign w:val="bottom"/>
          </w:tcPr>
          <w:p>
            <w:pPr>
              <w:pStyle w:val="TableContents"/>
              <w:bidi w:val="0"/>
              <w:spacing w:before="0" w:after="283"/>
              <w:jc w:val="left"/>
              <w:rPr/>
            </w:pPr>
            <w:r>
              <w:rP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8"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75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(1,643</w:t>
            </w:r>
          </w:p>
        </w:tc>
        <w:tc>
          <w:tcPr>
            <w:tcW w:w="158"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75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1,547</w:t>
            </w:r>
          </w:p>
        </w:tc>
        <w:tc>
          <w:tcPr>
            <w:tcW w:w="158"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75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926</w:t>
            </w:r>
          </w:p>
        </w:tc>
        <w:tc>
          <w:tcPr>
            <w:tcW w:w="158"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75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(733</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Notes to the consolidated statement of cashflows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10.1.</w:t>
            </w:r>
          </w:p>
        </w:tc>
        <w:tc>
          <w:tcPr>
            <w:tcW w:w="9752" w:type="dxa"/>
            <w:tcBorders/>
          </w:tcPr>
          <w:p>
            <w:pPr>
              <w:pStyle w:val="TableContents"/>
              <w:bidi w:val="0"/>
              <w:spacing w:before="0" w:after="0"/>
              <w:jc w:val="left"/>
              <w:rPr/>
            </w:pPr>
            <w:r>
              <w:rPr/>
              <w:t> </w:t>
            </w:r>
            <w:r>
              <w:rPr>
                <w:rFonts w:ascii="Times New Roman" w:hAnsi="Times New Roman"/>
                <w:b/>
                <w:sz w:val="20"/>
              </w:rPr>
              <w:t xml:space="preserve">Changes in liabilities arising from financing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financial liabilities have developed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0"/>
        <w:gridCol w:w="123"/>
        <w:gridCol w:w="73"/>
        <w:gridCol w:w="833"/>
        <w:gridCol w:w="155"/>
        <w:gridCol w:w="64"/>
        <w:gridCol w:w="89"/>
        <w:gridCol w:w="1132"/>
        <w:gridCol w:w="155"/>
        <w:gridCol w:w="64"/>
        <w:gridCol w:w="100"/>
        <w:gridCol w:w="1062"/>
        <w:gridCol w:w="154"/>
        <w:gridCol w:w="64"/>
        <w:gridCol w:w="91"/>
        <w:gridCol w:w="1041"/>
        <w:gridCol w:w="155"/>
        <w:gridCol w:w="64"/>
        <w:gridCol w:w="97"/>
        <w:gridCol w:w="914"/>
        <w:gridCol w:w="60"/>
        <w:gridCol w:w="123"/>
        <w:gridCol w:w="122"/>
        <w:gridCol w:w="782"/>
        <w:gridCol w:w="155"/>
        <w:gridCol w:w="64"/>
        <w:gridCol w:w="66"/>
        <w:gridCol w:w="840"/>
        <w:gridCol w:w="163"/>
      </w:tblGrid>
      <w:tr>
        <w:trPr/>
        <w:tc>
          <w:tcPr>
            <w:tcW w:w="140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23"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Loans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liabilities</w:t>
              <w:br/>
              <w:t>from credit</w:t>
              <w:br/>
              <w:t>institutions</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w:t>
              <w:br/>
              <w:t>derivative</w:t>
              <w:br/>
              <w:t>financial</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financial</w:t>
              <w:br/>
              <w:t>liabilities</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17,204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42,506</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b/>
              </w:rPr>
            </w:pPr>
            <w:r>
              <w:rPr>
                <w:b/>
              </w:rPr>
              <w:t>9,179</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b/>
              </w:rPr>
            </w:pPr>
            <w:r>
              <w:rPr>
                <w:b/>
              </w:rPr>
              <w:t>14,397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5</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83,292</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Cash-effective changes: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12</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Repayment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(3,551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(6,000</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(44,569</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824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824</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payment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(599</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(5,361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(68</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(6,028</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Non-cash changes: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leases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7,138</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7,138</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 on leases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599</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599</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interests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327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327</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 Fees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4,389</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4,389</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 (accrued interest expense and effects from effective interest rate method)</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4</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205</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(6,954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(8,275</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(13,784</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14,660</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7,063</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b/>
              </w:rPr>
            </w:pPr>
            <w:r>
              <w:rPr>
                <w:b/>
              </w:rPr>
              <w:t>3,115</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b/>
              </w:rPr>
            </w:pPr>
            <w:r>
              <w:rPr>
                <w:b/>
              </w:rPr>
              <w:t>6,122</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1,445</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32,406</w:t>
            </w:r>
          </w:p>
        </w:tc>
        <w:tc>
          <w:tcPr>
            <w:tcW w:w="163"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2"/>
        <w:gridCol w:w="157"/>
        <w:gridCol w:w="73"/>
        <w:gridCol w:w="835"/>
        <w:gridCol w:w="155"/>
        <w:gridCol w:w="104"/>
        <w:gridCol w:w="98"/>
        <w:gridCol w:w="1142"/>
        <w:gridCol w:w="155"/>
        <w:gridCol w:w="104"/>
        <w:gridCol w:w="100"/>
        <w:gridCol w:w="1060"/>
        <w:gridCol w:w="155"/>
        <w:gridCol w:w="104"/>
        <w:gridCol w:w="91"/>
        <w:gridCol w:w="1043"/>
        <w:gridCol w:w="60"/>
        <w:gridCol w:w="157"/>
        <w:gridCol w:w="123"/>
        <w:gridCol w:w="791"/>
        <w:gridCol w:w="60"/>
        <w:gridCol w:w="157"/>
        <w:gridCol w:w="73"/>
        <w:gridCol w:w="834"/>
        <w:gridCol w:w="162"/>
      </w:tblGrid>
      <w:tr>
        <w:trPr/>
        <w:tc>
          <w:tcPr>
            <w:tcW w:w="241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57"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liabilities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Loans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liabilities</w:t>
              <w:br/>
              <w:t>from credit</w:t>
              <w:br/>
              <w:t>institutions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w:t>
              <w:br/>
              <w:t>derivative</w:t>
              <w:br/>
              <w:t>financial</w:t>
              <w:br/>
              <w:t>liabilities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w:t>
              <w:br/>
              <w:t>liabilities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financial</w:t>
              <w:br/>
              <w:t>liabilities</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18,387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32,052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5,107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b/>
              </w:rPr>
            </w:pPr>
            <w:r>
              <w:rPr>
                <w:b/>
              </w:rPr>
              <w:t>12,057</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67,602</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Cash-effective changes:</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1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Borrowing</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15,005</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Repayment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(3,515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(4,515</w:t>
            </w:r>
          </w:p>
        </w:tc>
        <w:tc>
          <w:tcPr>
            <w:tcW w:w="162" w:type="dxa"/>
            <w:tcBorders/>
            <w:vAlign w:val="bottom"/>
          </w:tcPr>
          <w:p>
            <w:pPr>
              <w:pStyle w:val="TableContents"/>
              <w:bidi w:val="0"/>
              <w:spacing w:before="0" w:after="283"/>
              <w:jc w:val="left"/>
              <w:rPr>
                <w:b/>
              </w:rPr>
            </w:pPr>
            <w:r>
              <w:rPr>
                <w:b/>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2,332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2,332</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payment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(816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(143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(960</w:t>
            </w:r>
          </w:p>
        </w:tc>
        <w:tc>
          <w:tcPr>
            <w:tcW w:w="162" w:type="dxa"/>
            <w:tcBorders/>
            <w:vAlign w:val="bottom"/>
          </w:tcPr>
          <w:p>
            <w:pPr>
              <w:pStyle w:val="TableContents"/>
              <w:bidi w:val="0"/>
              <w:spacing w:before="0" w:after="283"/>
              <w:jc w:val="left"/>
              <w:rPr>
                <w:b/>
              </w:rPr>
            </w:pPr>
            <w:r>
              <w:rPr>
                <w:b/>
              </w:rPr>
              <w:t>) </w:t>
            </w:r>
          </w:p>
        </w:tc>
      </w:tr>
      <w:tr>
        <w:trPr/>
        <w:tc>
          <w:tcPr>
            <w:tcW w:w="24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Non-cash changes: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expenses on leases</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816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816</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interests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407</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143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143</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transaction costs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(30</w:t>
            </w:r>
          </w:p>
        </w:tc>
        <w:tc>
          <w:tcPr>
            <w:tcW w:w="162" w:type="dxa"/>
            <w:tcBorders/>
            <w:shd w:fill="CCEEFF" w:val="clear"/>
            <w:vAlign w:val="bottom"/>
          </w:tcPr>
          <w:p>
            <w:pPr>
              <w:pStyle w:val="TableContents"/>
              <w:bidi w:val="0"/>
              <w:spacing w:before="0" w:after="283"/>
              <w:jc w:val="left"/>
              <w:rPr>
                <w:b/>
              </w:rPr>
            </w:pPr>
            <w:r>
              <w:rPr>
                <w:b/>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expenses (accrued interest expense and effects from effective interest rate method)</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150</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Remeasurement</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2,340</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2,340</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b/>
              </w:rPr>
            </w:pPr>
            <w:r>
              <w:rPr>
                <w:b/>
              </w:rPr>
              <w:t>17,204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42,506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9,179</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b/>
              </w:rPr>
            </w:pPr>
            <w:r>
              <w:rPr>
                <w:b/>
              </w:rPr>
              <w:t>14,397</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5</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83,292</w:t>
            </w:r>
          </w:p>
        </w:tc>
        <w:tc>
          <w:tcPr>
            <w:tcW w:w="162" w:type="dxa"/>
            <w:tcBorders/>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Composition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IQM’s subsidiaries as of December 31, 2025, are listed below. Unless otherwise stated, their share capital is composed entirely of common shares held directly by the group, and the ownership percentage corresponds to the group’s voting rights. Each entity’s country of incorporation or registration also serves as its principal place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1877"/>
        <w:gridCol w:w="409"/>
        <w:gridCol w:w="1418"/>
        <w:gridCol w:w="409"/>
        <w:gridCol w:w="268"/>
        <w:gridCol w:w="1694"/>
        <w:gridCol w:w="60"/>
        <w:gridCol w:w="409"/>
        <w:gridCol w:w="268"/>
        <w:gridCol w:w="1694"/>
        <w:gridCol w:w="66"/>
      </w:tblGrid>
      <w:tr>
        <w:trPr/>
        <w:tc>
          <w:tcPr>
            <w:tcW w:w="1877"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877"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4393" w:type="dxa"/>
            <w:gridSpan w:val="6"/>
            <w:tcBorders/>
            <w:vAlign w:val="bottom"/>
          </w:tcPr>
          <w:p>
            <w:pPr>
              <w:pStyle w:val="TableContents"/>
              <w:bidi w:val="0"/>
              <w:spacing w:before="0" w:after="283"/>
              <w:jc w:val="center"/>
              <w:rPr>
                <w:b/>
              </w:rPr>
            </w:pPr>
            <w:r>
              <w:rPr>
                <w:b/>
              </w:rPr>
              <w:t>% equity interest</w:t>
            </w:r>
          </w:p>
        </w:tc>
        <w:tc>
          <w:tcPr>
            <w:tcW w:w="66" w:type="dxa"/>
            <w:tcBorders/>
            <w:vAlign w:val="bottom"/>
          </w:tcPr>
          <w:p>
            <w:pPr>
              <w:pStyle w:val="TableContents"/>
              <w:bidi w:val="0"/>
              <w:spacing w:before="0" w:after="283"/>
              <w:jc w:val="left"/>
              <w:rPr/>
            </w:pPr>
            <w:r>
              <w:rPr/>
              <w:t> </w:t>
            </w:r>
          </w:p>
        </w:tc>
      </w:tr>
      <w:tr>
        <w:trPr/>
        <w:tc>
          <w:tcPr>
            <w:tcW w:w="18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09" w:type="dxa"/>
            <w:tcBorders/>
            <w:vAlign w:val="bottom"/>
          </w:tcPr>
          <w:p>
            <w:pPr>
              <w:pStyle w:val="TableContents"/>
              <w:bidi w:val="0"/>
              <w:spacing w:before="0" w:after="283"/>
              <w:jc w:val="left"/>
              <w:rPr/>
            </w:pPr>
            <w:r>
              <w:rPr/>
              <w:t>  </w:t>
            </w:r>
          </w:p>
        </w:tc>
        <w:tc>
          <w:tcPr>
            <w:tcW w:w="1418" w:type="dxa"/>
            <w:tcBorders>
              <w:bottom w:val="single" w:sz="8" w:space="0" w:color="000000"/>
            </w:tcBorders>
            <w:tcMar>
              <w:bottom w:w="28" w:type="dxa"/>
            </w:tcMar>
            <w:vAlign w:val="bottom"/>
          </w:tcPr>
          <w:p>
            <w:pPr>
              <w:pStyle w:val="TableContents"/>
              <w:bidi w:val="0"/>
              <w:spacing w:before="0" w:after="283"/>
              <w:jc w:val="center"/>
              <w:rPr>
                <w:b/>
              </w:rPr>
            </w:pPr>
            <w:r>
              <w:rPr>
                <w:b/>
              </w:rPr>
              <w:t>Country of</w:t>
              <w:br/>
              <w:t>incorporation</w:t>
            </w:r>
          </w:p>
        </w:tc>
        <w:tc>
          <w:tcPr>
            <w:tcW w:w="409"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Germany GmbH</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Germany</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Quantum Computers S.L.</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Spain</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France SAS</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France</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Singapore PTE. LTD.</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Singapore</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US Inc.</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United States</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Polska Sp. z o.o.</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Poland</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Italy S.R.L.</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Italy</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Japan K.K.</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Japan</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Group’s subsidiaries in Italy and Japan were established in October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business transactions, receivables and liabilities with related parties existing at the reporting date result from ordinary business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b/>
              </w:rPr>
            </w:pPr>
            <w:r>
              <w:rPr>
                <w:b/>
              </w:rPr>
              <w:t>12.1.</w:t>
            </w:r>
          </w:p>
        </w:tc>
        <w:tc>
          <w:tcPr>
            <w:tcW w:w="9761" w:type="dxa"/>
            <w:tcBorders/>
          </w:tcPr>
          <w:p>
            <w:pPr>
              <w:pStyle w:val="TableContents"/>
              <w:bidi w:val="0"/>
              <w:spacing w:before="0" w:after="0"/>
              <w:jc w:val="left"/>
              <w:rPr/>
            </w:pPr>
            <w:r>
              <w:rPr/>
              <w:t> </w:t>
            </w:r>
            <w:r>
              <w:rPr>
                <w:rFonts w:ascii="Times New Roman" w:hAnsi="Times New Roman"/>
                <w:b/>
                <w:sz w:val="20"/>
              </w:rPr>
              <w:t xml:space="preserve">Remuneration key management personnel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remuneration of key management personnel includes short-term employee benefits and share-based payments.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86"/>
        <w:gridCol w:w="255"/>
        <w:gridCol w:w="60"/>
        <w:gridCol w:w="572"/>
        <w:gridCol w:w="60"/>
        <w:gridCol w:w="255"/>
        <w:gridCol w:w="68"/>
        <w:gridCol w:w="436"/>
        <w:gridCol w:w="63"/>
      </w:tblGrid>
      <w:tr>
        <w:trPr/>
        <w:tc>
          <w:tcPr>
            <w:tcW w:w="5986"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8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5"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employee benefits</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973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right"/>
              <w:rPr/>
            </w:pPr>
            <w:r>
              <w:rPr/>
              <w:t>682</w:t>
            </w:r>
          </w:p>
        </w:tc>
        <w:tc>
          <w:tcPr>
            <w:tcW w:w="63" w:type="dxa"/>
            <w:tcBorders/>
            <w:shd w:fill="CCEEFF" w:val="clear"/>
            <w:vAlign w:val="bottom"/>
          </w:tcPr>
          <w:p>
            <w:pPr>
              <w:pStyle w:val="TableContents"/>
              <w:bidi w:val="0"/>
              <w:spacing w:before="0" w:after="283"/>
              <w:jc w:val="left"/>
              <w:rPr/>
            </w:pPr>
            <w:r>
              <w:rPr/>
              <w:t> </w:t>
            </w:r>
          </w:p>
        </w:tc>
      </w:tr>
      <w:tr>
        <w:trPr/>
        <w:tc>
          <w:tcPr>
            <w:tcW w:w="5986" w:type="dxa"/>
            <w:tcBorders/>
          </w:tcPr>
          <w:p>
            <w:pPr>
              <w:pStyle w:val="TableContents"/>
              <w:bidi w:val="0"/>
              <w:spacing w:before="0" w:after="0"/>
              <w:jc w:val="left"/>
              <w:rPr>
                <w:rFonts w:ascii="Times New Roman" w:hAnsi="Times New Roman"/>
                <w:sz w:val="20"/>
              </w:rPr>
            </w:pPr>
            <w:r>
              <w:rPr>
                <w:rFonts w:ascii="Times New Roman" w:hAnsi="Times New Roman"/>
                <w:sz w:val="20"/>
              </w:rPr>
              <w:t>Post-Employment Pension and Medical Benefits</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transactions</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right"/>
              <w:rPr/>
            </w:pPr>
            <w:r>
              <w:rPr/>
              <w:t>132</w:t>
            </w:r>
          </w:p>
        </w:tc>
        <w:tc>
          <w:tcPr>
            <w:tcW w:w="63" w:type="dxa"/>
            <w:tcBorders/>
            <w:shd w:fill="CCEEFF" w:val="clear"/>
            <w:vAlign w:val="bottom"/>
          </w:tcPr>
          <w:p>
            <w:pPr>
              <w:pStyle w:val="TableContents"/>
              <w:bidi w:val="0"/>
              <w:spacing w:before="0" w:after="283"/>
              <w:jc w:val="left"/>
              <w:rPr/>
            </w:pPr>
            <w:r>
              <w:rPr/>
              <w:t> </w:t>
            </w:r>
          </w:p>
        </w:tc>
      </w:tr>
      <w:tr>
        <w:trPr/>
        <w:tc>
          <w:tcPr>
            <w:tcW w:w="5986"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9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b/>
              </w:rPr>
            </w:pPr>
            <w:r>
              <w:rPr>
                <w:b/>
              </w:rPr>
              <w:t>1,847</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b/>
              </w:rPr>
            </w:pPr>
            <w:r>
              <w:rPr>
                <w:b/>
              </w:rPr>
              <w:t>923</w:t>
            </w:r>
          </w:p>
        </w:tc>
        <w:tc>
          <w:tcPr>
            <w:tcW w:w="63" w:type="dxa"/>
            <w:tcBorders/>
            <w:vAlign w:val="bottom"/>
          </w:tcPr>
          <w:p>
            <w:pPr>
              <w:pStyle w:val="TableContents"/>
              <w:bidi w:val="0"/>
              <w:spacing w:before="0" w:after="283"/>
              <w:jc w:val="left"/>
              <w:rPr/>
            </w:pPr>
            <w:r>
              <w:rPr/>
              <w:t> </w:t>
            </w:r>
          </w:p>
        </w:tc>
      </w:tr>
      <w:tr>
        <w:trPr/>
        <w:tc>
          <w:tcPr>
            <w:tcW w:w="5986"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Short-term employee benefits includes salary and other non-monetary benefits.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accrued bonus liabilities amounted to EUR 49 thousand (2024: EUR 37 thousand). The accruals reflect management’s best estimate of the expected payout based on current salary levels and performance assumptions at the reporting date. All accrued amounts are expected to be settled in cash within the following financial year. </w:t>
      </w:r>
    </w:p>
    <w:p>
      <w:pPr>
        <w:pStyle w:val="TextBody"/>
        <w:bidi w:val="0"/>
        <w:spacing w:before="240" w:after="0"/>
        <w:jc w:val="left"/>
        <w:rPr>
          <w:rFonts w:ascii="Times New Roman" w:hAnsi="Times New Roman"/>
          <w:sz w:val="20"/>
        </w:rPr>
      </w:pPr>
      <w:r>
        <w:rPr>
          <w:rFonts w:ascii="Times New Roman" w:hAnsi="Times New Roman"/>
          <w:sz w:val="20"/>
        </w:rPr>
        <w:t xml:space="preserve">Share-based payments include expenses for stock options (see Note </w:t>
      </w:r>
      <w:r>
        <w:rPr>
          <w:rFonts w:ascii="Times New Roman" w:hAnsi="Times New Roman"/>
          <w:sz w:val="20"/>
          <w:u w:val="single"/>
        </w:rPr>
        <w:t>6.7</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b/>
              </w:rPr>
            </w:pPr>
            <w:r>
              <w:rPr>
                <w:b/>
              </w:rPr>
              <w:t>12.2.</w:t>
            </w:r>
          </w:p>
        </w:tc>
        <w:tc>
          <w:tcPr>
            <w:tcW w:w="9749" w:type="dxa"/>
            <w:tcBorders/>
          </w:tcPr>
          <w:p>
            <w:pPr>
              <w:pStyle w:val="TableContents"/>
              <w:bidi w:val="0"/>
              <w:spacing w:before="0" w:after="0"/>
              <w:jc w:val="left"/>
              <w:rPr/>
            </w:pPr>
            <w:r>
              <w:rPr/>
              <w:t> </w:t>
            </w:r>
            <w:r>
              <w:rPr>
                <w:rFonts w:ascii="Times New Roman" w:hAnsi="Times New Roman"/>
                <w:b/>
                <w:sz w:val="20"/>
              </w:rPr>
              <w:t xml:space="preserve">Other related party transactions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69"/>
        <w:gridCol w:w="380"/>
        <w:gridCol w:w="118"/>
        <w:gridCol w:w="1343"/>
        <w:gridCol w:w="118"/>
        <w:gridCol w:w="486"/>
        <w:gridCol w:w="118"/>
        <w:gridCol w:w="774"/>
        <w:gridCol w:w="60"/>
        <w:gridCol w:w="380"/>
        <w:gridCol w:w="159"/>
        <w:gridCol w:w="1016"/>
        <w:gridCol w:w="159"/>
        <w:gridCol w:w="562"/>
        <w:gridCol w:w="159"/>
        <w:gridCol w:w="1020"/>
        <w:gridCol w:w="67"/>
      </w:tblGrid>
      <w:tr>
        <w:trPr/>
        <w:tc>
          <w:tcPr>
            <w:tcW w:w="2469"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469" w:type="dxa"/>
            <w:tcBorders/>
            <w:vAlign w:val="bottom"/>
          </w:tcPr>
          <w:p>
            <w:pPr>
              <w:pStyle w:val="TableContents"/>
              <w:bidi w:val="0"/>
              <w:spacing w:before="0" w:after="283"/>
              <w:jc w:val="left"/>
              <w:rPr>
                <w:b/>
              </w:rPr>
            </w:pPr>
            <w:r>
              <w:rPr>
                <w:b/>
              </w:rPr>
              <w:t>Services received</w:t>
            </w:r>
          </w:p>
        </w:tc>
        <w:tc>
          <w:tcPr>
            <w:tcW w:w="380" w:type="dxa"/>
            <w:tcBorders/>
            <w:vAlign w:val="bottom"/>
          </w:tcPr>
          <w:p>
            <w:pPr>
              <w:pStyle w:val="TableContents"/>
              <w:bidi w:val="0"/>
              <w:spacing w:before="0" w:after="283"/>
              <w:jc w:val="left"/>
              <w:rPr/>
            </w:pPr>
            <w:r>
              <w:rPr/>
              <w:t>  </w:t>
            </w:r>
          </w:p>
        </w:tc>
        <w:tc>
          <w:tcPr>
            <w:tcW w:w="29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Transaction values for the year</w:t>
              <w:br/>
              <w:t>ended 31 December</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Balance outstanding for the</w:t>
              <w:br/>
              <w:t>year ended 31 December</w:t>
            </w:r>
          </w:p>
        </w:tc>
        <w:tc>
          <w:tcPr>
            <w:tcW w:w="67" w:type="dxa"/>
            <w:tcBorders/>
            <w:vAlign w:val="bottom"/>
          </w:tcPr>
          <w:p>
            <w:pPr>
              <w:pStyle w:val="TableContents"/>
              <w:bidi w:val="0"/>
              <w:spacing w:before="0" w:after="283"/>
              <w:jc w:val="left"/>
              <w:rPr/>
            </w:pPr>
            <w:r>
              <w:rPr/>
              <w:t> </w:t>
            </w:r>
          </w:p>
        </w:tc>
      </w:tr>
      <w:tr>
        <w:trPr/>
        <w:tc>
          <w:tcPr>
            <w:tcW w:w="246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80"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18"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7" w:type="dxa"/>
            <w:tcBorders/>
            <w:vAlign w:val="bottom"/>
          </w:tcPr>
          <w:p>
            <w:pPr>
              <w:pStyle w:val="TableContents"/>
              <w:bidi w:val="0"/>
              <w:spacing w:before="0" w:after="283"/>
              <w:jc w:val="left"/>
              <w:rPr/>
            </w:pPr>
            <w:r>
              <w:rPr/>
              <w:t> </w:t>
            </w:r>
          </w:p>
        </w:tc>
      </w:tr>
      <w:tr>
        <w:trPr/>
        <w:tc>
          <w:tcPr>
            <w:tcW w:w="2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by other related parties</w:t>
            </w:r>
          </w:p>
        </w:tc>
        <w:tc>
          <w:tcPr>
            <w:tcW w:w="38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41,863</w:t>
            </w:r>
          </w:p>
        </w:tc>
        <w:tc>
          <w:tcPr>
            <w:tcW w:w="118"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9" w:type="dxa"/>
            <w:tcBorders/>
          </w:tcPr>
          <w:p>
            <w:pPr>
              <w:pStyle w:val="TableContents"/>
              <w:bidi w:val="0"/>
              <w:spacing w:before="0" w:after="0"/>
              <w:jc w:val="left"/>
              <w:rPr>
                <w:rFonts w:ascii="Times New Roman" w:hAnsi="Times New Roman"/>
                <w:sz w:val="20"/>
              </w:rPr>
            </w:pPr>
            <w:r>
              <w:rPr>
                <w:rFonts w:ascii="Times New Roman" w:hAnsi="Times New Roman"/>
                <w:sz w:val="20"/>
              </w:rPr>
              <w:t>Membership fee</w:t>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9</w:t>
            </w:r>
          </w:p>
        </w:tc>
        <w:tc>
          <w:tcPr>
            <w:tcW w:w="118"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469"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4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b/>
              </w:rPr>
            </w:pPr>
            <w:r>
              <w:rPr>
                <w:b/>
              </w:rPr>
              <w:t>41,872</w:t>
            </w:r>
          </w:p>
        </w:tc>
        <w:tc>
          <w:tcPr>
            <w:tcW w:w="118"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b/>
              </w:rPr>
            </w:pPr>
            <w:r>
              <w:rPr>
                <w:b/>
              </w:rPr>
              <w:t>9</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9"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related party transactions include Series B investments from funds under control or significant influence of Board members and membership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issued performance guarantees and advance payment guarantees to customers in connection with ongoing delivery projects totaling EUR 13,325 thousand (2024: EUR 3,228 thousand). These guarantees are typically issued by financial institutions on behalf of the Group and secure the Group’s contractual obligations to deliver quantum computing systems in accordance with agreed specifications and timelines.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expire upon successful completion and acceptance of the respective projects. Management assesses the probability of a claim under these guarantees as not probable.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Events after the reporting date </w:t>
            </w:r>
          </w:p>
        </w:tc>
      </w:tr>
    </w:tbl>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Management changes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2026, Jan Goetz transitioned from Co-Chief Executive Officer to Chief Executive Officer of the Company to lead the next phase of the Group’s global growth. The decision regarding the leadership transition was made by the relevant parties in December 2025 and was publicly announced on January 26,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Søren Hein was appointed Chief Operating Officer and Deputy Chief Executive Officer effective January 2026.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the Company announced the appointment of Dr. Craig Ciesla as Chief Technology Officer. In this role, he is responsible for advancing the Group’s technology strategy and overseeing its implementation across the Group’s systems and products. At the same time, Dr. Inés de Vega was appointed Chief Scientist, transitioning from her previous role as Vice President of Quantum Solutions. In her new role, she is responsible for ensuring scientific feasibility and system-level consistency across the Group’s technology development. </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expect these appointments to have a material effect on the Group’s financial position, financial performance or cash flows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Kreos loan facility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the Group exercised its contractual early repayment option and repaid the Kreos loan in full, including the outstanding principal, accrued interest, the applicable prepayment fee, the unpaid end-of-loan payment and all other outstanding amounts by July 31, 2026. The total repayment amounted to EUR 5,774 thousand, comprising a principal repayment of EUR 4,810 thousand, interest of EUR 883 thousand and additional fees of EUR 81 thousand.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Composition of the group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Group established and acquired entities to facilitate the contemplated business combination with Real Asset Acquisition Corp. A U.S. limited liability company, IQM US LLC, was incorporated on February 11, 2026, and a Luxembourg holding company was acquired on February 17, 2026. Both entities were included in the Group as acquisition vehicles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April 2026, the Group also established a new subsidiary in the United Kingdom.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Capital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June 28, 2026, all outstanding preferred shares of the Company (Seed, Series A1, Series A2 and Series B) were converted into ordinary (Common) shares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Company’s Board of Directors resolved to carry out a share split of the Company’s ordinary shares by a factor of 96.439869, in order to achieve a share price of USD 10.00 for the share issuances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made in connection with the business combination described below. As a result of the share split, the number of ordinary shares outstanding increased from 1,656,601 to 159,762,360.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recognized 102,700,000 newly issued ordinary shares as treasury shares held by the Company. These treasury shares did not carry dividend or voting rights while held by the Company and were subsequently used, in part, as consideration for the former shareholders of RAAQ and for PIPE investors,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According to IAS 33.64, the weighted average number of ordinary shares and earnings per share presented in Note 5.5 have been retrospectively adjusted for all periods presented to reflect the share split described above.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Business combination and Dual Listing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2026, the Company entered into a Business Combination Agreement with Real Asset Acquisition Corp. (“RAAQ”), a Nasdaq-listed special purpose acquisition company. The agreement provided for a business combination pursuant to which the Company would become a publicly listed entity upon completion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proposed business combination, the Company entered into subscription agreements with institutional and other accredited investors for a private investment in public equity (“PIPE”). The initial subscription agreements, entered into on February 22, 2026. Additional subscription agreements were entered into on May 22, 2026 and June 11, 2026,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Company completed the business combination. As part of the transaction, RAAQ merged with and into IQM US LLC, a Group company, with IQM US LLC continuing as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 the Company transferred 14,381,747 existing treasury shares as consideration to the former shareholders of RAAQ. The warrants previously issued by RAAQ were assumed by the Company and became warrants to purchase shares in the Company represented by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Concurrently, the Company completed the related private investment in public equity financing, pursuant to which 14,548,000 existing treasury shares were transferred to institutional and other accredited investors at a subscription price of USD 10.00 per share. The financing resulted in aggregate gross proceeds of EUR 127,805 thousand.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and related financing transactions generated total gross proceeds of approximately EUR 209,502 thousand.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business combination, the Company’s ordinary shares commenced trading on the Nasdaq Global Select Market in the United States on July 2, 2026.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Finnish Financial Supervisory Authority approved the Company’s listing prospectus for the admission of its ordinary shares to trading on the regulated market of Nasdaq Helsinki Ltd. Trading in the Company’s ordinary shares on Nasdaq Helsinki commenced on July 3, 2026.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Series B warrants </w:t>
      </w:r>
    </w:p>
    <w:p>
      <w:pPr>
        <w:pStyle w:val="TextBody"/>
        <w:bidi w:val="0"/>
        <w:spacing w:before="120" w:after="0"/>
        <w:jc w:val="left"/>
        <w:rPr>
          <w:rFonts w:ascii="Times New Roman" w:hAnsi="Times New Roman"/>
          <w:sz w:val="20"/>
        </w:rPr>
      </w:pPr>
      <w:r>
        <w:rPr>
          <w:rFonts w:ascii="Times New Roman" w:hAnsi="Times New Roman"/>
          <w:sz w:val="20"/>
        </w:rPr>
        <w:t xml:space="preserve">In May 2026 all outstanding Series B warrants were exercised at a price of EUR 474.86 per warrant by the holders, resulting in aggregate cash proceeds of EUR 20,463 thousand and the issuance of 43,092 Series B preferred shares.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Acquisition of Quantistry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the Group completed the acquisition of selected technology-related assets and activities of Quantistry GmbH (“Quantistry”), a Berlin-based developer of cloud-based, AI-enabled software for chemical and materials simulation. The total purchase consideration amounted to EUR 1,900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acquired set comprises inputs and substantive processes that together significantly contribute to the ability to create outputs and therefore meets the definition of a business. Accordingly, the transaction will be accounted for as a business combination using the acquisition method. </w:t>
      </w:r>
    </w:p>
    <w:p>
      <w:pPr>
        <w:pStyle w:val="TextBody"/>
        <w:bidi w:val="0"/>
        <w:spacing w:before="240" w:after="0"/>
        <w:jc w:val="left"/>
        <w:rPr>
          <w:rFonts w:ascii="Times New Roman" w:hAnsi="Times New Roman"/>
          <w:sz w:val="20"/>
        </w:rPr>
      </w:pPr>
      <w:r>
        <w:rPr>
          <w:rFonts w:ascii="Times New Roman" w:hAnsi="Times New Roman"/>
          <w:sz w:val="20"/>
        </w:rPr>
        <w:t xml:space="preserve">The initial accounting for the business combination, including the allocation of the purchase consideration to the identifiable assets acquired and liabilities assumed, has not yet been completed. Consequently, the amounts to be recognized in connection with the acquisition cannot yet be reliably determined.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Customer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Group entered into an additional customer agreement for the development, manufacture and delivery of quantum computing hardware with a total contract value of EUR 33,000 thousand. </w:t>
      </w:r>
    </w:p>
    <w:p>
      <w:pPr>
        <w:pStyle w:val="TextBody"/>
        <w:bidi w:val="0"/>
        <w:spacing w:before="240" w:after="0"/>
        <w:jc w:val="left"/>
        <w:rPr>
          <w:rFonts w:ascii="Times New Roman" w:hAnsi="Times New Roman"/>
          <w:sz w:val="20"/>
        </w:rPr>
      </w:pPr>
      <w:r>
        <w:rPr>
          <w:rFonts w:ascii="Times New Roman" w:hAnsi="Times New Roman"/>
          <w:sz w:val="20"/>
        </w:rPr>
        <w:t xml:space="preserve">The events described above occurred after December 31, 2025 and have therefore not been reflected in the Group’s consolidated financial statements as at and for the year ended December 31, 2025, except to the extent that they provide additional evidence of conditions existing at the reporting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New standards and amendments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New standards not yet adopted and interpretation application of new standards and interpretations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standards and interpretations published by the IASB are not yet mandatory. The Group is not applying them early.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3" w:type="dxa"/>
            <w:tcBorders/>
            <w:vAlign w:val="bottom"/>
          </w:tcPr>
          <w:p>
            <w:pPr>
              <w:pStyle w:val="TableContents"/>
              <w:bidi w:val="0"/>
              <w:spacing w:before="0" w:after="283"/>
              <w:jc w:val="left"/>
              <w:rPr/>
            </w:pPr>
            <w:r>
              <w:rPr/>
              <w:t>  </w:t>
            </w:r>
          </w:p>
        </w:tc>
        <w:tc>
          <w:tcPr>
            <w:tcW w:w="77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Explanation</w:t>
            </w:r>
          </w:p>
        </w:tc>
      </w:tr>
      <w:tr>
        <w:trPr/>
        <w:tc>
          <w:tcPr>
            <w:tcW w:w="2244" w:type="dxa"/>
            <w:tcBorders/>
            <w:vAlign w:val="center"/>
          </w:tcPr>
          <w:p>
            <w:pPr>
              <w:pStyle w:val="TableContents"/>
              <w:bidi w:val="0"/>
              <w:spacing w:before="0" w:after="283"/>
              <w:jc w:val="left"/>
              <w:rPr>
                <w:b/>
              </w:rPr>
            </w:pPr>
            <w:r>
              <w:rPr>
                <w:b/>
              </w:rPr>
              <w:t>IFRS 18</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IFRS 18 will replace IAS 1 Presentation of Financial Statements and applies for annual reporting periods beginning on or after 1 January 2027. The new standard introduces the following key new requirements.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Management-defined performance measures (MPMs) are disclosed in a single note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Enhanced guidance is provided on how to group information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all entities are required to use the operating profit subtotal as the starting point for the statement of cashflows when presenting operating cashflows under the indirect method.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IQM is assessing the impact of IFRS 18 on its consolidated financial statements but as IFRS 18 is not changing the recognition and measurement requirements it is not expected to have significant impact other than on the presentation of financial information.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4"/>
        <w:gridCol w:w="204"/>
        <w:gridCol w:w="775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4" w:type="dxa"/>
            <w:tcBorders/>
            <w:vAlign w:val="bottom"/>
          </w:tcPr>
          <w:p>
            <w:pPr>
              <w:pStyle w:val="TableContents"/>
              <w:bidi w:val="0"/>
              <w:spacing w:before="0" w:after="283"/>
              <w:jc w:val="left"/>
              <w:rPr/>
            </w:pPr>
            <w:r>
              <w:rPr/>
              <w:t>  </w:t>
            </w:r>
          </w:p>
        </w:tc>
        <w:tc>
          <w:tcPr>
            <w:tcW w:w="775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Explanation</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83"/>
              <w:jc w:val="left"/>
              <w:rPr>
                <w:b/>
              </w:rPr>
            </w:pPr>
            <w:r>
              <w:rPr>
                <w:b/>
              </w:rPr>
              <w:t>IFRS 19</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IFRS 19 introduces reduced disclosure requirements for eligible entities, while retaining the recognition, measurement and presentation principles of other IFRS accounting standards.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Eligibility is limited to subsidiaries as defined in IFRS 10 that do not have public accountability and whose ultimate or intermediate parent prepares consolidated financial statements in accordance with IFRS that are available for public use.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IFRS 19 is effective for reporting periods beginning on or after 1 January 2027, with early application permitted.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the Group’s equity instruments are anticipated to be publicly traded, the Group is not eligible to apply IFRS 19.</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Amendments to IFRS 9 &amp; IFRS 7</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The amendments clarify the derecognition of financial liabilities, provide additional guidance on the assessment of contractual cash flows of financial assets with ESG-linked and similar features, clarify non-recourse features and contractually linked instruments, and introduce additional disclosure requirements for certain financial instruments.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amendments are effective for annual reporting periods beginning on or after 1 January 2026. Early adoption is permitted for the classification of financial assets and related disclosures only. The Group does not expect the amendments to have a material impact on its financial statements.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83"/>
              <w:jc w:val="left"/>
              <w:rPr>
                <w:b/>
              </w:rPr>
            </w:pPr>
            <w:r>
              <w:rPr>
                <w:b/>
              </w:rPr>
              <w:t>Annual Improvements to IFRS Accounting Standards</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The IASB issued several narrow-scope amendments to various IFRS accounting standards, including IFRS 1, IFRS 7, IFRS 9, IFRS 10 and IAS 7, aimed at clarifications, simplifications and improvements to consistency.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amendments are effective for reporting periods beginning on or after 1 January 2026, with early application permitted. The Group does not expect the amendments to have a material impact on its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39"/>
        <w:gridCol w:w="9066"/>
      </w:tblGrid>
      <w:tr>
        <w:trPr/>
        <w:tc>
          <w:tcPr>
            <w:tcW w:w="1139" w:type="dxa"/>
            <w:tcBorders/>
          </w:tcPr>
          <w:p>
            <w:pPr>
              <w:pStyle w:val="TableContents"/>
              <w:bidi w:val="0"/>
              <w:spacing w:before="0" w:after="283"/>
              <w:jc w:val="left"/>
              <w:rPr>
                <w:b/>
              </w:rPr>
            </w:pPr>
            <w:bookmarkStart w:id="56" w:name="fin36013_14"/>
            <w:bookmarkEnd w:id="56"/>
            <w:r>
              <w:rPr>
                <w:b/>
              </w:rPr>
              <w:t>Unaudited</w:t>
            </w:r>
          </w:p>
        </w:tc>
        <w:tc>
          <w:tcPr>
            <w:tcW w:w="9066" w:type="dxa"/>
            <w:tcBorders/>
          </w:tcPr>
          <w:p>
            <w:pPr>
              <w:pStyle w:val="TableContents"/>
              <w:bidi w:val="0"/>
              <w:spacing w:before="0" w:after="0"/>
              <w:jc w:val="center"/>
              <w:rPr>
                <w:rFonts w:ascii="Times New Roman" w:hAnsi="Times New Roman"/>
                <w:b/>
                <w:sz w:val="20"/>
              </w:rPr>
            </w:pPr>
            <w:r>
              <w:rPr>
                <w:rFonts w:ascii="Times New Roman" w:hAnsi="Times New Roman"/>
                <w:b/>
                <w:sz w:val="20"/>
              </w:rPr>
              <w:t xml:space="preserve">interim condensed consolidated statement of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41"/>
        <w:gridCol w:w="563"/>
        <w:gridCol w:w="141"/>
        <w:gridCol w:w="70"/>
        <w:gridCol w:w="905"/>
        <w:gridCol w:w="183"/>
        <w:gridCol w:w="70"/>
        <w:gridCol w:w="70"/>
        <w:gridCol w:w="908"/>
        <w:gridCol w:w="165"/>
        <w:gridCol w:w="160"/>
        <w:gridCol w:w="62"/>
        <w:gridCol w:w="833"/>
        <w:gridCol w:w="168"/>
        <w:gridCol w:w="102"/>
        <w:gridCol w:w="62"/>
        <w:gridCol w:w="835"/>
        <w:gridCol w:w="175"/>
      </w:tblGrid>
      <w:tr>
        <w:trPr/>
        <w:tc>
          <w:tcPr>
            <w:tcW w:w="459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20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75"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3"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41"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5"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center"/>
              <w:rPr>
                <w:i/>
              </w:rPr>
            </w:pPr>
            <w:r>
              <w:rPr>
                <w:i/>
              </w:rPr>
              <w:t>3</w:t>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6,683</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5,233</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8,870</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6,034</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(3,623</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(3,159</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(5,265</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(3,627</w:t>
            </w:r>
          </w:p>
        </w:tc>
        <w:tc>
          <w:tcPr>
            <w:tcW w:w="175"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3,060</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b/>
              </w:rPr>
            </w:pPr>
            <w:r>
              <w:rPr>
                <w:b/>
              </w:rPr>
              <w:t>2,075</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3,604</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2,407</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(3,805</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(1,385</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(7,049</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(2,366</w:t>
            </w:r>
          </w:p>
        </w:tc>
        <w:tc>
          <w:tcPr>
            <w:tcW w:w="175"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center"/>
              <w:rPr>
                <w:i/>
              </w:rPr>
            </w:pPr>
            <w:r>
              <w:rPr>
                <w:i/>
              </w:rPr>
              <w:t>4.1</w:t>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(15,450</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(4,380</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(26,201</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(6,912</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(16,285</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(11,813</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(34,047</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(25,650</w:t>
            </w:r>
          </w:p>
        </w:tc>
        <w:tc>
          <w:tcPr>
            <w:tcW w:w="175"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(133</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20</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center"/>
              <w:rPr>
                <w:i/>
              </w:rPr>
            </w:pPr>
            <w:r>
              <w:rPr>
                <w:i/>
              </w:rPr>
              <w:t>4.2</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1,719</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576</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3,142</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938</w:t>
            </w:r>
          </w:p>
        </w:tc>
        <w:tc>
          <w:tcPr>
            <w:tcW w:w="175" w:type="dxa"/>
            <w:tcBorders/>
            <w:vAlign w:val="bottom"/>
          </w:tcPr>
          <w:p>
            <w:pPr>
              <w:pStyle w:val="TableContents"/>
              <w:bidi w:val="0"/>
              <w:spacing w:before="0" w:after="283"/>
              <w:jc w:val="left"/>
              <w:rPr/>
            </w:pPr>
            <w:r>
              <w:rPr/>
              <w:t> </w:t>
            </w:r>
          </w:p>
        </w:tc>
      </w:tr>
      <w:tr>
        <w:trPr/>
        <w:tc>
          <w:tcPr>
            <w:tcW w:w="45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(46</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(48</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(30,895</w:t>
            </w:r>
          </w:p>
        </w:tc>
        <w:tc>
          <w:tcPr>
            <w:tcW w:w="183"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b/>
              </w:rPr>
            </w:pPr>
            <w:r>
              <w:rPr>
                <w:b/>
              </w:rPr>
              <w:t>(14,968</w:t>
            </w:r>
          </w:p>
        </w:tc>
        <w:tc>
          <w:tcPr>
            <w:tcW w:w="165" w:type="dxa"/>
            <w:tcBorders/>
            <w:vAlign w:val="bottom"/>
          </w:tcPr>
          <w:p>
            <w:pPr>
              <w:pStyle w:val="TableContents"/>
              <w:bidi w:val="0"/>
              <w:spacing w:before="0" w:after="283"/>
              <w:jc w:val="left"/>
              <w:rPr>
                <w:b/>
              </w:rPr>
            </w:pPr>
            <w:r>
              <w:rPr>
                <w:b/>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(60,537</w:t>
            </w:r>
          </w:p>
        </w:tc>
        <w:tc>
          <w:tcPr>
            <w:tcW w:w="168" w:type="dxa"/>
            <w:tcBorders/>
            <w:vAlign w:val="bottom"/>
          </w:tcPr>
          <w:p>
            <w:pPr>
              <w:pStyle w:val="TableContents"/>
              <w:bidi w:val="0"/>
              <w:spacing w:before="0" w:after="283"/>
              <w:jc w:val="left"/>
              <w:rPr>
                <w:b/>
              </w:rPr>
            </w:pPr>
            <w:r>
              <w:rPr>
                <w:b/>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b/>
              </w:rPr>
            </w:pPr>
            <w:r>
              <w:rPr>
                <w:b/>
              </w:rPr>
              <w:t>(31,635</w:t>
            </w:r>
          </w:p>
        </w:tc>
        <w:tc>
          <w:tcPr>
            <w:tcW w:w="175" w:type="dxa"/>
            <w:tcBorders/>
            <w:vAlign w:val="bottom"/>
          </w:tcPr>
          <w:p>
            <w:pPr>
              <w:pStyle w:val="TableContents"/>
              <w:bidi w:val="0"/>
              <w:spacing w:before="0" w:after="283"/>
              <w:jc w:val="left"/>
              <w:rPr>
                <w:b/>
              </w:rPr>
            </w:pPr>
            <w:r>
              <w:rPr>
                <w:b/>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center"/>
              <w:rPr>
                <w:i/>
              </w:rPr>
            </w:pPr>
            <w:r>
              <w:rPr>
                <w:i/>
              </w:rPr>
              <w:t>4.3</w:t>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1,700</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626</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5,067</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969</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center"/>
              <w:rPr>
                <w:i/>
              </w:rPr>
            </w:pPr>
            <w:r>
              <w:rPr>
                <w:i/>
              </w:rPr>
              <w:t>4.3</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(7,336</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(607</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(19,400</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(3,850</w:t>
            </w:r>
          </w:p>
        </w:tc>
        <w:tc>
          <w:tcPr>
            <w:tcW w:w="175"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(36,532</w:t>
            </w:r>
          </w:p>
        </w:tc>
        <w:tc>
          <w:tcPr>
            <w:tcW w:w="183"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b/>
              </w:rPr>
            </w:pPr>
            <w:r>
              <w:rPr>
                <w:b/>
              </w:rPr>
              <w:t>(14,948</w:t>
            </w:r>
          </w:p>
        </w:tc>
        <w:tc>
          <w:tcPr>
            <w:tcW w:w="165" w:type="dxa"/>
            <w:tcBorders/>
            <w:shd w:fill="CCEEFF" w:val="clear"/>
            <w:vAlign w:val="bottom"/>
          </w:tcPr>
          <w:p>
            <w:pPr>
              <w:pStyle w:val="TableContents"/>
              <w:bidi w:val="0"/>
              <w:spacing w:before="0" w:after="283"/>
              <w:jc w:val="left"/>
              <w:rPr>
                <w:b/>
              </w:rPr>
            </w:pPr>
            <w:r>
              <w:rPr>
                <w:b/>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(74,871</w:t>
            </w:r>
          </w:p>
        </w:tc>
        <w:tc>
          <w:tcPr>
            <w:tcW w:w="168"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(34,516</w:t>
            </w:r>
          </w:p>
        </w:tc>
        <w:tc>
          <w:tcPr>
            <w:tcW w:w="175" w:type="dxa"/>
            <w:tcBorders/>
            <w:shd w:fill="CCEEFF" w:val="clear"/>
            <w:vAlign w:val="bottom"/>
          </w:tcPr>
          <w:p>
            <w:pPr>
              <w:pStyle w:val="TableContents"/>
              <w:bidi w:val="0"/>
              <w:spacing w:before="0" w:after="283"/>
              <w:jc w:val="left"/>
              <w:rPr>
                <w:b/>
              </w:rPr>
            </w:pPr>
            <w:r>
              <w:rPr>
                <w:b/>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center"/>
              <w:rPr>
                <w:i/>
              </w:rPr>
            </w:pPr>
            <w:r>
              <w:rPr>
                <w:i/>
              </w:rPr>
              <w:t>4.4</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(22</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(57</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(27</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(59</w:t>
            </w:r>
          </w:p>
        </w:tc>
        <w:tc>
          <w:tcPr>
            <w:tcW w:w="175"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(36,554</w:t>
            </w:r>
          </w:p>
        </w:tc>
        <w:tc>
          <w:tcPr>
            <w:tcW w:w="183"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b/>
              </w:rPr>
            </w:pPr>
            <w:r>
              <w:rPr>
                <w:b/>
              </w:rPr>
              <w:t>(15,005</w:t>
            </w:r>
          </w:p>
        </w:tc>
        <w:tc>
          <w:tcPr>
            <w:tcW w:w="165" w:type="dxa"/>
            <w:tcBorders/>
            <w:shd w:fill="CCEEFF" w:val="clear"/>
            <w:vAlign w:val="bottom"/>
          </w:tcPr>
          <w:p>
            <w:pPr>
              <w:pStyle w:val="TableContents"/>
              <w:bidi w:val="0"/>
              <w:spacing w:before="0" w:after="283"/>
              <w:jc w:val="left"/>
              <w:rPr>
                <w:b/>
              </w:rPr>
            </w:pPr>
            <w:r>
              <w:rPr>
                <w:b/>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(74,897</w:t>
            </w:r>
          </w:p>
        </w:tc>
        <w:tc>
          <w:tcPr>
            <w:tcW w:w="168"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(34,575</w:t>
            </w:r>
          </w:p>
        </w:tc>
        <w:tc>
          <w:tcPr>
            <w:tcW w:w="175" w:type="dxa"/>
            <w:tcBorders/>
            <w:shd w:fill="CCEEFF" w:val="clear"/>
            <w:vAlign w:val="bottom"/>
          </w:tcPr>
          <w:p>
            <w:pPr>
              <w:pStyle w:val="TableContents"/>
              <w:bidi w:val="0"/>
              <w:spacing w:before="0" w:after="283"/>
              <w:jc w:val="left"/>
              <w:rPr>
                <w:b/>
              </w:rPr>
            </w:pPr>
            <w:r>
              <w:rPr>
                <w:b/>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0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center"/>
              <w:rPr>
                <w:i/>
              </w:rPr>
            </w:pPr>
            <w:r>
              <w:rPr>
                <w:i/>
              </w:rPr>
              <w:t>6</w:t>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(36,554</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(15,005</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(74,897</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(34,575</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b/>
                <w:sz w:val="20"/>
              </w:rPr>
            </w:pPr>
            <w:r>
              <w:rPr>
                <w:rFonts w:ascii="Times New Roman" w:hAnsi="Times New Roman"/>
                <w:b/>
                <w:sz w:val="20"/>
              </w:rPr>
              <w:t>Loss per share (in EUR) attributable to the ordinary equity holders of the company:</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center"/>
              <w:rPr>
                <w:i/>
              </w:rPr>
            </w:pPr>
            <w:r>
              <w:rPr>
                <w:i/>
              </w:rPr>
              <w:t>4.5</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0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(1.18</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(0.49</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(2.50</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(1.13</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(1.18</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(0.49</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(2.50</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(1.13</w:t>
            </w:r>
          </w:p>
        </w:tc>
        <w:tc>
          <w:tcPr>
            <w:tcW w:w="1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7" w:name="fin36013_15"/>
      <w:bookmarkEnd w:id="57"/>
      <w:r>
        <w:rPr>
          <w:rFonts w:ascii="Times New Roman" w:hAnsi="Times New Roman"/>
          <w:b/>
          <w:sz w:val="20"/>
        </w:rPr>
        <w:t xml:space="preserve">Unaudited interim condensed consolidated statement of comprehensive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0"/>
        <w:gridCol w:w="141"/>
        <w:gridCol w:w="175"/>
        <w:gridCol w:w="392"/>
        <w:gridCol w:w="60"/>
        <w:gridCol w:w="141"/>
        <w:gridCol w:w="70"/>
        <w:gridCol w:w="912"/>
        <w:gridCol w:w="185"/>
        <w:gridCol w:w="70"/>
        <w:gridCol w:w="70"/>
        <w:gridCol w:w="914"/>
        <w:gridCol w:w="166"/>
        <w:gridCol w:w="155"/>
        <w:gridCol w:w="62"/>
        <w:gridCol w:w="782"/>
        <w:gridCol w:w="160"/>
        <w:gridCol w:w="100"/>
        <w:gridCol w:w="62"/>
        <w:gridCol w:w="784"/>
        <w:gridCol w:w="164"/>
      </w:tblGrid>
      <w:tr>
        <w:trPr/>
        <w:tc>
          <w:tcPr>
            <w:tcW w:w="464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64"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(36,554</w:t>
            </w:r>
          </w:p>
        </w:tc>
        <w:tc>
          <w:tcPr>
            <w:tcW w:w="18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(15,005</w:t>
            </w:r>
          </w:p>
        </w:tc>
        <w:tc>
          <w:tcPr>
            <w:tcW w:w="166" w:type="dxa"/>
            <w:tcBorders/>
            <w:shd w:fill="CCEEFF" w:val="clear"/>
            <w:vAlign w:val="bottom"/>
          </w:tcPr>
          <w:p>
            <w:pPr>
              <w:pStyle w:val="TableContents"/>
              <w:bidi w:val="0"/>
              <w:spacing w:before="0" w:after="283"/>
              <w:jc w:val="left"/>
              <w:rPr>
                <w:b/>
              </w:rPr>
            </w:pPr>
            <w:r>
              <w:rPr>
                <w:b/>
              </w:rPr>
              <w:t>) </w:t>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(74,897</w:t>
            </w:r>
          </w:p>
        </w:tc>
        <w:tc>
          <w:tcPr>
            <w:tcW w:w="16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(34,575</w:t>
            </w:r>
          </w:p>
        </w:tc>
        <w:tc>
          <w:tcPr>
            <w:tcW w:w="164" w:type="dxa"/>
            <w:tcBorders/>
            <w:shd w:fill="CCEEFF" w:val="clear"/>
            <w:vAlign w:val="bottom"/>
          </w:tcPr>
          <w:p>
            <w:pPr>
              <w:pStyle w:val="TableContents"/>
              <w:bidi w:val="0"/>
              <w:spacing w:before="0" w:after="283"/>
              <w:jc w:val="left"/>
              <w:rPr>
                <w:b/>
              </w:rPr>
            </w:pPr>
            <w:r>
              <w:rPr>
                <w:b/>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64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might be reclassified into consolidated statement of loss</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of foreign subsidiaries</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(12</w:t>
            </w:r>
          </w:p>
        </w:tc>
        <w:tc>
          <w:tcPr>
            <w:tcW w:w="18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4</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(20</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(18</w:t>
            </w:r>
          </w:p>
        </w:tc>
        <w:tc>
          <w:tcPr>
            <w:tcW w:w="164"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will not be reclassified into consolidated statement of loss (net of deferred tax)</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Remeasurements of defined benefit plans</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for the period, net of deferred tax</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(12</w:t>
            </w:r>
          </w:p>
        </w:tc>
        <w:tc>
          <w:tcPr>
            <w:tcW w:w="18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4</w:t>
            </w:r>
          </w:p>
        </w:tc>
        <w:tc>
          <w:tcPr>
            <w:tcW w:w="166" w:type="dxa"/>
            <w:tcBorders/>
            <w:shd w:fill="CCEEFF" w:val="clear"/>
            <w:vAlign w:val="bottom"/>
          </w:tcPr>
          <w:p>
            <w:pPr>
              <w:pStyle w:val="TableContents"/>
              <w:bidi w:val="0"/>
              <w:spacing w:before="0" w:after="283"/>
              <w:jc w:val="left"/>
              <w:rPr/>
            </w:pPr>
            <w:r>
              <w:rPr/>
              <w:t> </w:t>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(23</w:t>
            </w:r>
          </w:p>
        </w:tc>
        <w:tc>
          <w:tcPr>
            <w:tcW w:w="16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(18</w:t>
            </w:r>
          </w:p>
        </w:tc>
        <w:tc>
          <w:tcPr>
            <w:tcW w:w="164" w:type="dxa"/>
            <w:tcBorders/>
            <w:shd w:fill="CCEEFF" w:val="clear"/>
            <w:vAlign w:val="bottom"/>
          </w:tcPr>
          <w:p>
            <w:pPr>
              <w:pStyle w:val="TableContents"/>
              <w:bidi w:val="0"/>
              <w:spacing w:before="0" w:after="283"/>
              <w:jc w:val="left"/>
              <w:rPr>
                <w:b/>
              </w:rPr>
            </w:pPr>
            <w:r>
              <w:rPr>
                <w:b/>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period</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(36,565</w:t>
            </w:r>
          </w:p>
        </w:tc>
        <w:tc>
          <w:tcPr>
            <w:tcW w:w="18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(15,001</w:t>
            </w:r>
          </w:p>
        </w:tc>
        <w:tc>
          <w:tcPr>
            <w:tcW w:w="166" w:type="dxa"/>
            <w:tcBorders/>
            <w:vAlign w:val="bottom"/>
          </w:tcPr>
          <w:p>
            <w:pPr>
              <w:pStyle w:val="TableContents"/>
              <w:bidi w:val="0"/>
              <w:spacing w:before="0" w:after="283"/>
              <w:jc w:val="left"/>
              <w:rPr>
                <w:b/>
              </w:rPr>
            </w:pPr>
            <w:r>
              <w:rPr>
                <w:b/>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(74,920</w:t>
            </w:r>
          </w:p>
        </w:tc>
        <w:tc>
          <w:tcPr>
            <w:tcW w:w="160" w:type="dxa"/>
            <w:tcBorders/>
            <w:vAlign w:val="bottom"/>
          </w:tcPr>
          <w:p>
            <w:pPr>
              <w:pStyle w:val="TableContents"/>
              <w:bidi w:val="0"/>
              <w:spacing w:before="0" w:after="283"/>
              <w:jc w:val="left"/>
              <w:rPr>
                <w:b/>
              </w:rPr>
            </w:pPr>
            <w:r>
              <w:rPr>
                <w:b/>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(34,593</w:t>
            </w:r>
          </w:p>
        </w:tc>
        <w:tc>
          <w:tcPr>
            <w:tcW w:w="164" w:type="dxa"/>
            <w:tcBorders/>
            <w:vAlign w:val="bottom"/>
          </w:tcPr>
          <w:p>
            <w:pPr>
              <w:pStyle w:val="TableContents"/>
              <w:bidi w:val="0"/>
              <w:spacing w:before="0" w:after="283"/>
              <w:jc w:val="left"/>
              <w:rPr>
                <w:b/>
              </w:rPr>
            </w:pPr>
            <w:r>
              <w:rPr>
                <w:b/>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(36,565</w:t>
            </w:r>
          </w:p>
        </w:tc>
        <w:tc>
          <w:tcPr>
            <w:tcW w:w="18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(15,001</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(74,920</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(34,593</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8" w:name="fin36013_16"/>
      <w:bookmarkEnd w:id="58"/>
      <w:r>
        <w:rPr>
          <w:rFonts w:ascii="Times New Roman" w:hAnsi="Times New Roman"/>
          <w:b/>
          <w:sz w:val="20"/>
        </w:rPr>
        <w:t xml:space="preserve">Interim condensed consolidated statement of financial position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77"/>
        <w:gridCol w:w="321"/>
        <w:gridCol w:w="88"/>
        <w:gridCol w:w="488"/>
        <w:gridCol w:w="60"/>
        <w:gridCol w:w="321"/>
        <w:gridCol w:w="90"/>
        <w:gridCol w:w="1337"/>
        <w:gridCol w:w="155"/>
        <w:gridCol w:w="274"/>
        <w:gridCol w:w="125"/>
        <w:gridCol w:w="1909"/>
        <w:gridCol w:w="160"/>
      </w:tblGrid>
      <w:tr>
        <w:trPr/>
        <w:tc>
          <w:tcPr>
            <w:tcW w:w="4877"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4847" w:type="dxa"/>
            <w:gridSpan w:val="10"/>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1"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9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77"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9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841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920</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5.2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61,464</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57,931</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10,044</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10,949</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7.2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1,281</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910</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73,630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70,710</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9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25,452</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13,491</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8,291</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7,286</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7.1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12,200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15,489</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7.2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5,457</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876</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5.5</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15,264</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11,216</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113,424</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146,544</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180,089</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194,903</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b/>
              </w:rPr>
            </w:pPr>
            <w:r>
              <w:rPr>
                <w:b/>
              </w:rPr>
              <w:t>253,719</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b/>
              </w:rPr>
            </w:pPr>
            <w:r>
              <w:rPr>
                <w:b/>
              </w:rPr>
              <w:t>265,613</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4877" w:type="dxa"/>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903" w:type="dxa"/>
            <w:gridSpan w:val="4"/>
            <w:tcBorders/>
            <w:vAlign w:val="center"/>
          </w:tcPr>
          <w:p>
            <w:pPr>
              <w:pStyle w:val="TableContents"/>
              <w:bidi w:val="0"/>
              <w:spacing w:before="0" w:after="283"/>
              <w:jc w:val="left"/>
              <w:rPr>
                <w:sz w:val="4"/>
                <w:szCs w:val="4"/>
              </w:rPr>
            </w:pPr>
            <w:r>
              <w:rPr>
                <w:sz w:val="4"/>
                <w:szCs w:val="4"/>
              </w:rPr>
            </w:r>
          </w:p>
        </w:tc>
        <w:tc>
          <w:tcPr>
            <w:tcW w:w="2468" w:type="dxa"/>
            <w:gridSpan w:val="4"/>
            <w:tcBorders/>
            <w:vAlign w:val="center"/>
          </w:tcPr>
          <w:p>
            <w:pPr>
              <w:pStyle w:val="TableContents"/>
              <w:bidi w:val="0"/>
              <w:spacing w:before="0" w:after="283"/>
              <w:jc w:val="left"/>
              <w:rPr>
                <w:sz w:val="4"/>
                <w:szCs w:val="4"/>
              </w:rPr>
            </w:pPr>
            <w:r>
              <w:rPr>
                <w:sz w:val="4"/>
                <w:szCs w:val="4"/>
              </w:rPr>
            </w:r>
          </w:p>
        </w:tc>
      </w:tr>
      <w:tr>
        <w:trPr/>
        <w:tc>
          <w:tcPr>
            <w:tcW w:w="487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1"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9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77"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9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489,522</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438,157</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(307,141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(232,243</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(16</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182,422</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205,900</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9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7.3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2,160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9,222</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5.3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11,306</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12,185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14</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b/>
              </w:rPr>
            </w:pPr>
            <w:r>
              <w:rPr>
                <w:b/>
              </w:rPr>
              <w:t>13,480</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b/>
              </w:rPr>
            </w:pPr>
            <w:r>
              <w:rPr>
                <w:b/>
              </w:rPr>
              <w:t>21,420</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9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7,762</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8,855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2,341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2,475</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7.3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12,810</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8,525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13,797</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7,406</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8,961</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5,908</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12,145</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5,124</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b/>
              </w:rPr>
            </w:pPr>
            <w:r>
              <w:rPr>
                <w:b/>
              </w:rPr>
              <w:t>57,817</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b/>
              </w:rPr>
            </w:pPr>
            <w:r>
              <w:rPr>
                <w:b/>
              </w:rPr>
              <w:t>38,292</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71,297</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59,713</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b/>
              </w:rPr>
            </w:pPr>
            <w:r>
              <w:rPr>
                <w:b/>
              </w:rPr>
              <w:t>253,719</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b/>
              </w:rPr>
            </w:pPr>
            <w:r>
              <w:rPr>
                <w:b/>
              </w:rPr>
              <w:t>265,613</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9" w:name="fin36013_17"/>
      <w:bookmarkEnd w:id="59"/>
      <w:r>
        <w:rPr>
          <w:rFonts w:ascii="Times New Roman" w:hAnsi="Times New Roman"/>
          <w:b/>
          <w:sz w:val="20"/>
        </w:rPr>
        <w:t xml:space="preserve">Unaudited interim condensed consolidated statement of changes in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6"/>
        <w:gridCol w:w="189"/>
        <w:gridCol w:w="602"/>
        <w:gridCol w:w="189"/>
        <w:gridCol w:w="86"/>
        <w:gridCol w:w="549"/>
        <w:gridCol w:w="60"/>
        <w:gridCol w:w="189"/>
        <w:gridCol w:w="60"/>
        <w:gridCol w:w="892"/>
        <w:gridCol w:w="174"/>
        <w:gridCol w:w="138"/>
        <w:gridCol w:w="59"/>
        <w:gridCol w:w="999"/>
        <w:gridCol w:w="174"/>
        <w:gridCol w:w="94"/>
        <w:gridCol w:w="107"/>
        <w:gridCol w:w="701"/>
        <w:gridCol w:w="174"/>
        <w:gridCol w:w="182"/>
        <w:gridCol w:w="60"/>
        <w:gridCol w:w="848"/>
        <w:gridCol w:w="163"/>
      </w:tblGrid>
      <w:tr>
        <w:trPr/>
        <w:tc>
          <w:tcPr>
            <w:tcW w:w="3516"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1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073" w:type="dxa"/>
            <w:gridSpan w:val="16"/>
            <w:tcBorders/>
            <w:vAlign w:val="bottom"/>
          </w:tcPr>
          <w:p>
            <w:pPr>
              <w:pStyle w:val="TableContents"/>
              <w:bidi w:val="0"/>
              <w:spacing w:before="0" w:after="283"/>
              <w:jc w:val="center"/>
              <w:rPr>
                <w:b/>
              </w:rPr>
            </w:pPr>
            <w:r>
              <w:rPr>
                <w:b/>
              </w:rPr>
              <w:t>Equity attributable to equity holders of the parent</w:t>
            </w:r>
          </w:p>
        </w:tc>
        <w:tc>
          <w:tcPr>
            <w:tcW w:w="174" w:type="dxa"/>
            <w:tcBorders/>
            <w:vAlign w:val="bottom"/>
          </w:tcPr>
          <w:p>
            <w:pPr>
              <w:pStyle w:val="TableContents"/>
              <w:bidi w:val="0"/>
              <w:spacing w:before="0" w:after="283"/>
              <w:jc w:val="left"/>
              <w:rPr/>
            </w:pPr>
            <w:r>
              <w:rPr/>
              <w:t> </w:t>
            </w:r>
          </w:p>
        </w:tc>
        <w:tc>
          <w:tcPr>
            <w:tcW w:w="182" w:type="dxa"/>
            <w:vMerge w:val="restart"/>
            <w:tcBorders>
              <w:left w:val="single" w:sz="2" w:space="0" w:color="000000"/>
            </w:tcBorders>
            <w:tcMar>
              <w:left w:w="28" w:type="dxa"/>
            </w:tcMar>
            <w:vAlign w:val="bottom"/>
          </w:tcPr>
          <w:p>
            <w:pPr>
              <w:pStyle w:val="TableContents"/>
              <w:bidi w:val="0"/>
              <w:spacing w:before="0" w:after="283"/>
              <w:jc w:val="left"/>
              <w:rPr/>
            </w:pPr>
            <w:r>
              <w:rPr/>
              <w:t> </w:t>
            </w:r>
          </w:p>
        </w:tc>
        <w:tc>
          <w:tcPr>
            <w:tcW w:w="90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63" w:type="dxa"/>
            <w:vMerge w:val="restart"/>
            <w:tcBorders/>
            <w:vAlign w:val="bottom"/>
          </w:tcPr>
          <w:p>
            <w:pPr>
              <w:pStyle w:val="TableContents"/>
              <w:bidi w:val="0"/>
              <w:spacing w:before="0" w:after="283"/>
              <w:jc w:val="left"/>
              <w:rPr/>
            </w:pPr>
            <w:r>
              <w:rPr/>
              <w:t> </w:t>
            </w:r>
          </w:p>
        </w:tc>
      </w:tr>
      <w:tr>
        <w:trPr/>
        <w:tc>
          <w:tcPr>
            <w:tcW w:w="35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89" w:type="dxa"/>
            <w:tcBorders/>
            <w:vAlign w:val="bottom"/>
          </w:tcPr>
          <w:p>
            <w:pPr>
              <w:pStyle w:val="TableContents"/>
              <w:bidi w:val="0"/>
              <w:spacing w:before="0" w:after="283"/>
              <w:jc w:val="left"/>
              <w:rPr/>
            </w:pPr>
            <w:r>
              <w:rPr/>
              <w:t>  </w:t>
            </w:r>
          </w:p>
        </w:tc>
        <w:tc>
          <w:tcPr>
            <w:tcW w:w="602"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89"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pPr>
            <w:r>
              <w:rPr/>
              <w:t>Share</w:t>
              <w:br/>
              <w:t>capital</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pPr>
            <w:r>
              <w:rPr/>
              <w:t>Capital</w:t>
              <w:br/>
              <w:t>reserves</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pPr>
            <w:r>
              <w:rPr/>
              <w:t>Retained</w:t>
              <w:br/>
              <w:t>earnings</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pPr>
            <w:r>
              <w:rPr/>
              <w:t>Other</w:t>
              <w:br/>
              <w:t>reserves</w:t>
            </w:r>
          </w:p>
        </w:tc>
        <w:tc>
          <w:tcPr>
            <w:tcW w:w="174" w:type="dxa"/>
            <w:tcBorders/>
            <w:vAlign w:val="bottom"/>
          </w:tcPr>
          <w:p>
            <w:pPr>
              <w:pStyle w:val="TableContents"/>
              <w:bidi w:val="0"/>
              <w:spacing w:before="0" w:after="283"/>
              <w:jc w:val="left"/>
              <w:rPr/>
            </w:pPr>
            <w:r>
              <w:rPr/>
              <w:t> </w:t>
            </w:r>
          </w:p>
        </w:tc>
        <w:tc>
          <w:tcPr>
            <w:tcW w:w="182" w:type="dxa"/>
            <w:vMerge w:val="continue"/>
            <w:tcBorders>
              <w:left w:val="single" w:sz="2" w:space="0" w:color="000000"/>
            </w:tcBorders>
            <w:tcMar>
              <w:left w:w="28" w:type="dxa"/>
            </w:tcMar>
            <w:vAlign w:val="bottom"/>
          </w:tcPr>
          <w:p>
            <w:pPr>
              <w:pStyle w:val="Normal"/>
              <w:bidi w:val="0"/>
              <w:jc w:val="left"/>
              <w:rPr/>
            </w:pPr>
            <w:r>
              <w:rPr/>
            </w:r>
          </w:p>
        </w:tc>
        <w:tc>
          <w:tcPr>
            <w:tcW w:w="908"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2026</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438,157</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(232,243</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(16</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205,900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(38,344</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(38,344</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(11</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(11</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(38,344</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(11</w:t>
            </w:r>
          </w:p>
        </w:tc>
        <w:tc>
          <w:tcPr>
            <w:tcW w:w="174" w:type="dxa"/>
            <w:tcBorders/>
            <w:vAlign w:val="bottom"/>
          </w:tcPr>
          <w:p>
            <w:pPr>
              <w:pStyle w:val="TableContents"/>
              <w:bidi w:val="0"/>
              <w:spacing w:before="0" w:after="283"/>
              <w:jc w:val="left"/>
              <w:rPr>
                <w:b/>
              </w:rPr>
            </w:pPr>
            <w:r>
              <w:rPr>
                <w:b/>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(38,355</w:t>
            </w:r>
          </w:p>
        </w:tc>
        <w:tc>
          <w:tcPr>
            <w:tcW w:w="163" w:type="dxa"/>
            <w:tcBorders/>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5.6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3,332</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3,332</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March 31, 2026</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3</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b/>
              </w:rPr>
            </w:pPr>
            <w:r>
              <w:rPr>
                <w:b/>
              </w:rPr>
              <w:t>441,489</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(270,587</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(27</w:t>
            </w:r>
          </w:p>
        </w:tc>
        <w:tc>
          <w:tcPr>
            <w:tcW w:w="174" w:type="dxa"/>
            <w:tcBorders/>
            <w:vAlign w:val="bottom"/>
          </w:tcPr>
          <w:p>
            <w:pPr>
              <w:pStyle w:val="TableContents"/>
              <w:bidi w:val="0"/>
              <w:spacing w:before="0" w:after="283"/>
              <w:jc w:val="left"/>
              <w:rPr>
                <w:b/>
              </w:rPr>
            </w:pPr>
            <w:r>
              <w:rPr>
                <w:b/>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170,878</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(36,554</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(36,554</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(12</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(12</w:t>
            </w:r>
          </w:p>
        </w:tc>
        <w:tc>
          <w:tcPr>
            <w:tcW w:w="163" w:type="dxa"/>
            <w:tcBorders/>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(36,554</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(12</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(36,565</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Exercise of warrants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20,501</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20,501</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Conversion of convertible loan</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23,030</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23,030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 increase from company funds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(78</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5.6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5,291</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5,291</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Redemption of employee share options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5.6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(751</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(751</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Strike price payment</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39</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701"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39</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June 30, 2026</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80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b/>
              </w:rPr>
            </w:pPr>
            <w:r>
              <w:rPr>
                <w:b/>
              </w:rPr>
              <w:t>489,522</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(307,141</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(39</w:t>
            </w:r>
          </w:p>
        </w:tc>
        <w:tc>
          <w:tcPr>
            <w:tcW w:w="174" w:type="dxa"/>
            <w:tcBorders/>
            <w:vAlign w:val="bottom"/>
          </w:tcPr>
          <w:p>
            <w:pPr>
              <w:pStyle w:val="TableContents"/>
              <w:bidi w:val="0"/>
              <w:spacing w:before="0" w:after="283"/>
              <w:jc w:val="left"/>
              <w:rPr>
                <w:b/>
              </w:rPr>
            </w:pPr>
            <w:r>
              <w:rPr>
                <w:b/>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182,422</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185,590</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(177,854</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(5</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7,734</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(19,570</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(19,570</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(22</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(22</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(19,570</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(22</w:t>
            </w:r>
          </w:p>
        </w:tc>
        <w:tc>
          <w:tcPr>
            <w:tcW w:w="174" w:type="dxa"/>
            <w:tcBorders/>
            <w:vAlign w:val="bottom"/>
          </w:tcPr>
          <w:p>
            <w:pPr>
              <w:pStyle w:val="TableContents"/>
              <w:bidi w:val="0"/>
              <w:spacing w:before="0" w:after="283"/>
              <w:jc w:val="left"/>
              <w:rPr>
                <w:b/>
              </w:rPr>
            </w:pPr>
            <w:r>
              <w:rPr>
                <w:b/>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(19,592</w:t>
            </w:r>
          </w:p>
        </w:tc>
        <w:tc>
          <w:tcPr>
            <w:tcW w:w="163" w:type="dxa"/>
            <w:tcBorders/>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contribution</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117,550</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117,550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5.6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1,016</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1,016</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March 31, 2025</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304,156</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(197,424</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(27</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106,708</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(15,005</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(15,005</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4</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4</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(15,005</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4</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(15,001</w:t>
            </w:r>
          </w:p>
        </w:tc>
        <w:tc>
          <w:tcPr>
            <w:tcW w:w="163" w:type="dxa"/>
            <w:tcBorders/>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contribution</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38,000</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38,000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(22,421</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(22,421</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 - net of deferred tax</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(561</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(561</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5.6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1,318</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1,318</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June 30, 2025</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320,492</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(212,429</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(22</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108,043</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fin36013_18"/>
      <w:bookmarkEnd w:id="60"/>
      <w:r>
        <w:rPr>
          <w:rFonts w:ascii="Times New Roman" w:hAnsi="Times New Roman"/>
          <w:b/>
          <w:sz w:val="20"/>
        </w:rPr>
        <w:t xml:space="preserve">Unaudited interim condensed consolidated statement of cashflows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29"/>
        <w:gridCol w:w="140"/>
        <w:gridCol w:w="60"/>
        <w:gridCol w:w="1223"/>
        <w:gridCol w:w="60"/>
        <w:gridCol w:w="140"/>
        <w:gridCol w:w="60"/>
        <w:gridCol w:w="802"/>
        <w:gridCol w:w="157"/>
        <w:gridCol w:w="109"/>
        <w:gridCol w:w="60"/>
        <w:gridCol w:w="802"/>
        <w:gridCol w:w="163"/>
      </w:tblGrid>
      <w:tr>
        <w:trPr/>
        <w:tc>
          <w:tcPr>
            <w:tcW w:w="642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90" w:type="dxa"/>
            <w:gridSpan w:val="6"/>
            <w:tcBorders/>
            <w:vAlign w:val="bottom"/>
          </w:tcPr>
          <w:p>
            <w:pPr>
              <w:pStyle w:val="TableContents"/>
              <w:bidi w:val="0"/>
              <w:spacing w:before="0" w:after="283"/>
              <w:jc w:val="center"/>
              <w:rPr>
                <w:b/>
              </w:rPr>
            </w:pPr>
            <w:r>
              <w:rPr>
                <w:b/>
              </w:rPr>
              <w:t>For the six months</w:t>
              <w:br/>
              <w:t>ended June 30,</w:t>
            </w:r>
          </w:p>
        </w:tc>
        <w:tc>
          <w:tcPr>
            <w:tcW w:w="163" w:type="dxa"/>
            <w:tcBorders/>
            <w:vAlign w:val="bottom"/>
          </w:tcPr>
          <w:p>
            <w:pPr>
              <w:pStyle w:val="TableContents"/>
              <w:bidi w:val="0"/>
              <w:spacing w:before="0" w:after="283"/>
              <w:jc w:val="left"/>
              <w:rPr/>
            </w:pPr>
            <w:r>
              <w:rPr/>
              <w:t> </w:t>
            </w:r>
          </w:p>
        </w:tc>
      </w:tr>
      <w:tr>
        <w:trPr/>
        <w:tc>
          <w:tcPr>
            <w:tcW w:w="642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0"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(74,897</w:t>
            </w:r>
          </w:p>
        </w:tc>
        <w:tc>
          <w:tcPr>
            <w:tcW w:w="157"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(34,575</w:t>
            </w:r>
          </w:p>
        </w:tc>
        <w:tc>
          <w:tcPr>
            <w:tcW w:w="163" w:type="dxa"/>
            <w:tcBorders/>
            <w:shd w:fill="CCEEFF" w:val="clear"/>
            <w:vAlign w:val="bottom"/>
          </w:tcPr>
          <w:p>
            <w:pPr>
              <w:pStyle w:val="TableContents"/>
              <w:bidi w:val="0"/>
              <w:spacing w:before="0" w:after="283"/>
              <w:jc w:val="left"/>
              <w:rPr>
                <w:b/>
              </w:rPr>
            </w:pPr>
            <w:r>
              <w:rPr>
                <w:b/>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Adjustments for:</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amortization and impairment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5.1, 5.2, 5.3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6,462</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6,205</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adjustments for non-cash items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(98</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(303</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8,827</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2,334</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income/cost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4.3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14,233</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2,790</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4.4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59</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Changes in:</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(11,961</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(2,220</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(1,004</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(721</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7.1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3,289</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1,717</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7.2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(1,793</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(7,440</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(3,836</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(1,093</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3,549</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6,353</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(3,758</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2,098</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1,458</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7,021</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(115</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operating activities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(50,003</w:t>
            </w:r>
          </w:p>
        </w:tc>
        <w:tc>
          <w:tcPr>
            <w:tcW w:w="157"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(27,461</w:t>
            </w:r>
          </w:p>
        </w:tc>
        <w:tc>
          <w:tcPr>
            <w:tcW w:w="163" w:type="dxa"/>
            <w:tcBorders/>
            <w:vAlign w:val="bottom"/>
          </w:tcPr>
          <w:p>
            <w:pPr>
              <w:pStyle w:val="TableContents"/>
              <w:bidi w:val="0"/>
              <w:spacing w:before="0" w:after="283"/>
              <w:jc w:val="left"/>
              <w:rPr>
                <w:b/>
              </w:rPr>
            </w:pPr>
            <w:r>
              <w:rPr>
                <w:b/>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disposals of property, plant, and equipment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5.2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(7,159</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(2,735</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Refund from purchase of property, plant and equipment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1,000</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acquisition of subsidiary - net of cash</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977</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628</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investing activities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(5,188</w:t>
            </w:r>
          </w:p>
        </w:tc>
        <w:tc>
          <w:tcPr>
            <w:tcW w:w="157"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(2,086</w:t>
            </w:r>
          </w:p>
        </w:tc>
        <w:tc>
          <w:tcPr>
            <w:tcW w:w="163" w:type="dxa"/>
            <w:tcBorders/>
            <w:vAlign w:val="bottom"/>
          </w:tcPr>
          <w:p>
            <w:pPr>
              <w:pStyle w:val="TableContents"/>
              <w:bidi w:val="0"/>
              <w:spacing w:before="0" w:after="283"/>
              <w:jc w:val="left"/>
              <w:rPr>
                <w:b/>
              </w:rPr>
            </w:pPr>
            <w:r>
              <w:rPr>
                <w:b/>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equity contributions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39</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155,550</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related to equity contributions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(617</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(22,421</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warrants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20,501</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loans and borrowings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4,225</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loans and borrowings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(440</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(5,508</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lease liabilities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(1,310</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(1,874</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824</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(payment) of other financial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7.2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(371</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165</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(637</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(409</w:t>
            </w:r>
          </w:p>
        </w:tc>
        <w:tc>
          <w:tcPr>
            <w:tcW w:w="163" w:type="dxa"/>
            <w:tcBorders/>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financing activities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22,008</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125,713</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cash equivalents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(33,184</w:t>
            </w:r>
          </w:p>
        </w:tc>
        <w:tc>
          <w:tcPr>
            <w:tcW w:w="157"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96,166</w:t>
            </w:r>
          </w:p>
        </w:tc>
        <w:tc>
          <w:tcPr>
            <w:tcW w:w="163" w:type="dxa"/>
            <w:tcBorders/>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year</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146,544</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17,247</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 Effects of exchange rate changes on cash and cash equivalents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63</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w:t>
            </w:r>
          </w:p>
        </w:tc>
        <w:tc>
          <w:tcPr>
            <w:tcW w:w="163" w:type="dxa"/>
            <w:tcBorders/>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the end of period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113,424</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113,373</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1" w:name="fin36013_19"/>
      <w:bookmarkEnd w:id="61"/>
      <w:r>
        <w:rPr>
          <w:rFonts w:ascii="Times New Roman" w:hAnsi="Times New Roman"/>
          <w:b/>
          <w:sz w:val="20"/>
        </w:rPr>
        <w:t xml:space="preserve">Notes to the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preparation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Reporting entity </w:t>
      </w:r>
    </w:p>
    <w:p>
      <w:pPr>
        <w:pStyle w:val="TextBody"/>
        <w:bidi w:val="0"/>
        <w:spacing w:before="120" w:after="0"/>
        <w:jc w:val="left"/>
        <w:rPr>
          <w:rFonts w:ascii="Times New Roman" w:hAnsi="Times New Roman"/>
          <w:sz w:val="20"/>
        </w:rPr>
      </w:pPr>
      <w:r>
        <w:rPr>
          <w:rFonts w:ascii="Times New Roman" w:hAnsi="Times New Roman"/>
          <w:sz w:val="20"/>
        </w:rPr>
        <w:t xml:space="preserve">These unaudited IFRS interim condensed consolidated financial statements comprise the parent entity and its subsidiaries of the IQM Group (the “Group”, or “IQM” or “IQM Group”), of which IQM Quantum Computers Oyj (the “Company”) is the parent. The Company is located in Finland and the Company’s address is Keilaranta 19, 02150 Espoo, Finland.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 was changed from IQM Finland Oy to IQM Quantum Computers Oyj on June 29, 2026.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(“IQM”) is a global leader in the development and commercialization of superconducting quantum computers and related services. Founded in 2018 as a spin-off from Aalto University and VTT Technical Research Centre of Finland, IQM has positioned itself as one of Europe’s leading developers of quantum computing systems. The Group is headquartered in Espoo, Finland, with subsidiaries in Germany, France, Italy, Japan, Luxembourg, Poland, Spain, Singapore, United States and the 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accounting </w:t>
      </w:r>
    </w:p>
    <w:p>
      <w:pPr>
        <w:pStyle w:val="TextBody"/>
        <w:bidi w:val="0"/>
        <w:spacing w:before="120" w:after="0"/>
        <w:jc w:val="left"/>
        <w:rPr>
          <w:rFonts w:ascii="Times New Roman" w:hAnsi="Times New Roman"/>
          <w:sz w:val="20"/>
        </w:rPr>
      </w:pPr>
      <w:r>
        <w:rPr>
          <w:rFonts w:ascii="Times New Roman" w:hAnsi="Times New Roman"/>
          <w:sz w:val="20"/>
        </w:rPr>
        <w:t xml:space="preserve">IQM has prepared these interim condensed financial statements (“interim financial statements”) in accordance with IAS 34 </w:t>
      </w:r>
      <w:r>
        <w:rPr>
          <w:rFonts w:ascii="Times New Roman" w:hAnsi="Times New Roman"/>
          <w:i/>
          <w:sz w:val="20"/>
        </w:rPr>
        <w:t>Interim Financial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These interim financial statements do not include all notes disclosures presented in the annual consolidated financial statements. Accordingly, these interim financial statements should be read in conjunction with the annual consolidated financial statements for the year ended December 31, 2025.</w:t>
      </w:r>
    </w:p>
    <w:p>
      <w:pPr>
        <w:pStyle w:val="TextBody"/>
        <w:bidi w:val="0"/>
        <w:spacing w:before="240" w:after="0"/>
        <w:jc w:val="left"/>
        <w:rPr>
          <w:rFonts w:ascii="Times New Roman" w:hAnsi="Times New Roman"/>
          <w:sz w:val="20"/>
        </w:rPr>
      </w:pPr>
      <w:r>
        <w:rPr>
          <w:rFonts w:ascii="Times New Roman" w:hAnsi="Times New Roman"/>
          <w:sz w:val="20"/>
        </w:rPr>
        <w:t xml:space="preserve">The interim condensed consolidated financial statements are presented in Euro (EUR). Unless otherwise stated, all figures presented herein in EUR are rounded to the nearest thousand EUR. Due to rounding, it is possible that individual figures in these interim condensed consolidated financial statements do not add up exactly to the totals given and that the percentages shown do not exactly reflect the absolute figures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policies applied in these interim condensed consolidated financial statements are consistent with those applied in the Group’s annual consolidated financial statements for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New standards and amendments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standard published by the IASB is not yet mandatory. The Group is not applying them early.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3" w:type="dxa"/>
            <w:tcBorders/>
            <w:vAlign w:val="bottom"/>
          </w:tcPr>
          <w:p>
            <w:pPr>
              <w:pStyle w:val="TableContents"/>
              <w:bidi w:val="0"/>
              <w:spacing w:before="0" w:after="283"/>
              <w:jc w:val="left"/>
              <w:rPr/>
            </w:pPr>
            <w:r>
              <w:rPr/>
              <w:t>  </w:t>
            </w:r>
          </w:p>
        </w:tc>
        <w:tc>
          <w:tcPr>
            <w:tcW w:w="77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Explanation</w:t>
            </w:r>
          </w:p>
        </w:tc>
      </w:tr>
      <w:tr>
        <w:trPr/>
        <w:tc>
          <w:tcPr>
            <w:tcW w:w="2244" w:type="dxa"/>
            <w:tcBorders/>
            <w:vAlign w:val="center"/>
          </w:tcPr>
          <w:p>
            <w:pPr>
              <w:pStyle w:val="TableContents"/>
              <w:bidi w:val="0"/>
              <w:spacing w:before="0" w:after="283"/>
              <w:jc w:val="left"/>
              <w:rPr>
                <w:b/>
              </w:rPr>
            </w:pPr>
            <w:r>
              <w:rPr>
                <w:b/>
              </w:rPr>
              <w:t>IFRS 18</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IFRS 18 will replace IAS 1 Presentation of Financial Statements and applies for annual reporting periods beginning on or after 1 January 2027. The new standard introduces the following key new requirements.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Management-defined performance measures (MPMs) are disclosed in a single note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Enhanced guidance is provided on how to group information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all entities are required to use the operating profit subtotal as the starting point for the statement of cashflows when presenting operating cashflows under the indirect method.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As at June 30, 2026, IQM’s assessment of the impact of IFRS 18 including the classification of income and expenses into the new categories, the identification of any management-defined performance measures, and the determination of IQM’s main business activities is ongoing and has not yet been finalized.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IQM is assessing the impact of IFRS 18 on its consolidated financial statements. As IFRS 18 does not change the recognition and measurement requirements, IQM does not expect it to have a significant impact other than on the presentation and disclosure of its financial information. This assessment, including the evaluation of related judgements, is not yet complete. Therefore, IQM will disclose further information, including quantitative estimates where available, in future annual financial statements as its assessment progresses.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segments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operates as one operating segment. The Company’s chief operating decision maker (“CODM”) function is the Chief Executive Officer (CEO), who primarily reviews financial information for purposes of making operating decisions, assessing financial performance and allocating resources. The Company’s CODM evaluates financial information on a consolidated basis. Since the Group operates as a single operating segment the consolidated loss for the reporting period is the measure of profit or loss used by the CODM to assess performance and allocate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by geographical areas </w:t>
      </w:r>
    </w:p>
    <w:p>
      <w:pPr>
        <w:pStyle w:val="TextBody"/>
        <w:bidi w:val="0"/>
        <w:spacing w:before="120" w:after="0"/>
        <w:jc w:val="left"/>
        <w:rPr>
          <w:rFonts w:ascii="Times New Roman" w:hAnsi="Times New Roman"/>
          <w:sz w:val="20"/>
        </w:rPr>
      </w:pPr>
      <w:r>
        <w:rPr>
          <w:rFonts w:ascii="Times New Roman" w:hAnsi="Times New Roman"/>
          <w:sz w:val="20"/>
        </w:rPr>
        <w:t xml:space="preserve">Revenue by geographical region can be found in Note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Non-current assets by geographical areas </w:t>
      </w:r>
    </w:p>
    <w:p>
      <w:pPr>
        <w:pStyle w:val="TextBody"/>
        <w:bidi w:val="0"/>
        <w:spacing w:before="120" w:after="0"/>
        <w:jc w:val="left"/>
        <w:rPr>
          <w:rFonts w:ascii="Times New Roman" w:hAnsi="Times New Roman"/>
          <w:sz w:val="20"/>
        </w:rPr>
      </w:pPr>
      <w:r>
        <w:rPr>
          <w:rFonts w:ascii="Times New Roman" w:hAnsi="Times New Roman"/>
          <w:sz w:val="20"/>
        </w:rPr>
        <w:t xml:space="preserve">The total of non-current assets other than financial instruments and deferred tax assets, broken down by location of the assets, is shown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70"/>
        <w:gridCol w:w="527"/>
        <w:gridCol w:w="114"/>
        <w:gridCol w:w="1301"/>
        <w:gridCol w:w="60"/>
        <w:gridCol w:w="527"/>
        <w:gridCol w:w="158"/>
        <w:gridCol w:w="1835"/>
        <w:gridCol w:w="63"/>
      </w:tblGrid>
      <w:tr>
        <w:trPr/>
        <w:tc>
          <w:tcPr>
            <w:tcW w:w="317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Finland</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55,503</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51,810</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 located in Germany</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16,783</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pPr>
            <w:r>
              <w:rPr/>
              <w:t>17,977</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other countries</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13</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b/>
              </w:rPr>
            </w:pPr>
            <w:r>
              <w:rPr>
                <w:b/>
              </w:rPr>
              <w:t>72,349</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b/>
              </w:rPr>
            </w:pPr>
            <w:r>
              <w:rPr>
                <w:b/>
              </w:rPr>
              <w:t>69,800</w:t>
            </w:r>
          </w:p>
        </w:tc>
        <w:tc>
          <w:tcPr>
            <w:tcW w:w="63"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about major customers </w:t>
      </w:r>
    </w:p>
    <w:p>
      <w:pPr>
        <w:pStyle w:val="TextBody"/>
        <w:bidi w:val="0"/>
        <w:spacing w:before="120" w:after="0"/>
        <w:jc w:val="left"/>
        <w:rPr>
          <w:rFonts w:ascii="Times New Roman" w:hAnsi="Times New Roman"/>
          <w:sz w:val="20"/>
        </w:rPr>
      </w:pPr>
      <w:r>
        <w:rPr>
          <w:rFonts w:ascii="Times New Roman" w:hAnsi="Times New Roman"/>
          <w:sz w:val="20"/>
        </w:rPr>
        <w:t xml:space="preserve">In the reporting period, the Group generated revenues from transactions with a limited number of major customers. Revenues from transactions with a single customer amounting to 10% or more of the Group’s total revenue are disclosed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14"/>
        <w:gridCol w:w="310"/>
        <w:gridCol w:w="104"/>
        <w:gridCol w:w="1011"/>
        <w:gridCol w:w="104"/>
        <w:gridCol w:w="387"/>
        <w:gridCol w:w="132"/>
        <w:gridCol w:w="858"/>
        <w:gridCol w:w="60"/>
        <w:gridCol w:w="309"/>
        <w:gridCol w:w="94"/>
        <w:gridCol w:w="891"/>
        <w:gridCol w:w="92"/>
        <w:gridCol w:w="365"/>
        <w:gridCol w:w="132"/>
        <w:gridCol w:w="858"/>
        <w:gridCol w:w="67"/>
      </w:tblGrid>
      <w:tr>
        <w:trPr/>
        <w:tc>
          <w:tcPr>
            <w:tcW w:w="3614"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14"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4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361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1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04"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1</w:t>
            </w:r>
          </w:p>
        </w:tc>
        <w:tc>
          <w:tcPr>
            <w:tcW w:w="3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2,131</w:t>
            </w:r>
          </w:p>
        </w:tc>
        <w:tc>
          <w:tcPr>
            <w:tcW w:w="104"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3,773</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30</w:t>
            </w:r>
          </w:p>
        </w:tc>
        <w:tc>
          <w:tcPr>
            <w:tcW w:w="67" w:type="dxa"/>
            <w:tcBorders/>
            <w:shd w:fill="CCEEFF" w:val="clear"/>
            <w:vAlign w:val="bottom"/>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Customer 2</w:t>
            </w:r>
          </w:p>
        </w:tc>
        <w:tc>
          <w:tcPr>
            <w:tcW w:w="3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3,576</w:t>
            </w:r>
          </w:p>
        </w:tc>
        <w:tc>
          <w:tcPr>
            <w:tcW w:w="104"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3,588</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b/>
              </w:rPr>
            </w:pPr>
            <w:r>
              <w:rPr>
                <w:b/>
              </w:rPr>
              <w:t>5,702</w:t>
            </w:r>
          </w:p>
        </w:tc>
        <w:tc>
          <w:tcPr>
            <w:tcW w:w="104"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b/>
              </w:rPr>
            </w:pPr>
            <w:r>
              <w:rPr>
                <w:b/>
              </w:rPr>
              <w:t>15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7,344</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b/>
              </w:rPr>
            </w:pPr>
            <w:r>
              <w:rPr>
                <w:b/>
              </w:rPr>
              <w:t>30</w:t>
            </w:r>
          </w:p>
        </w:tc>
        <w:tc>
          <w:tcPr>
            <w:tcW w:w="67" w:type="dxa"/>
            <w:tcBorders/>
            <w:shd w:fill="CCEEFF" w:val="clear"/>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IQM disaggregates revenue by geographical area based on the country of domicile of the respective customer. External revenues are attributable to the following countries: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5"/>
        <w:gridCol w:w="329"/>
        <w:gridCol w:w="94"/>
        <w:gridCol w:w="886"/>
        <w:gridCol w:w="91"/>
        <w:gridCol w:w="377"/>
        <w:gridCol w:w="94"/>
        <w:gridCol w:w="886"/>
        <w:gridCol w:w="60"/>
        <w:gridCol w:w="329"/>
        <w:gridCol w:w="93"/>
        <w:gridCol w:w="886"/>
        <w:gridCol w:w="80"/>
        <w:gridCol w:w="361"/>
        <w:gridCol w:w="93"/>
        <w:gridCol w:w="887"/>
        <w:gridCol w:w="67"/>
      </w:tblGrid>
      <w:tr>
        <w:trPr/>
        <w:tc>
          <w:tcPr>
            <w:tcW w:w="377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7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9"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Finland</w:t>
            </w:r>
          </w:p>
        </w:tc>
        <w:tc>
          <w:tcPr>
            <w:tcW w:w="32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2,131</w:t>
            </w:r>
          </w:p>
        </w:tc>
        <w:tc>
          <w:tcPr>
            <w:tcW w:w="9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3,773</w:t>
            </w:r>
          </w:p>
        </w:tc>
        <w:tc>
          <w:tcPr>
            <w:tcW w:w="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30</w:t>
            </w:r>
          </w:p>
        </w:tc>
        <w:tc>
          <w:tcPr>
            <w:tcW w:w="67" w:type="dxa"/>
            <w:tcBorders/>
            <w:shd w:fill="CCEEFF" w:val="clear"/>
            <w:vAlign w:val="bottom"/>
          </w:tcPr>
          <w:p>
            <w:pPr>
              <w:pStyle w:val="TableContents"/>
              <w:bidi w:val="0"/>
              <w:spacing w:before="0" w:after="283"/>
              <w:jc w:val="left"/>
              <w:rPr/>
            </w:pPr>
            <w:r>
              <w:rPr/>
              <w:t> </w:t>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3,625</w:t>
            </w:r>
          </w:p>
        </w:tc>
        <w:tc>
          <w:tcPr>
            <w:tcW w:w="9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3,688</w:t>
            </w:r>
          </w:p>
        </w:tc>
        <w:tc>
          <w:tcPr>
            <w:tcW w:w="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26</w:t>
            </w:r>
          </w:p>
        </w:tc>
        <w:tc>
          <w:tcPr>
            <w:tcW w:w="67" w:type="dxa"/>
            <w:tcBorders/>
            <w:vAlign w:val="bottom"/>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32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822</w:t>
            </w:r>
          </w:p>
        </w:tc>
        <w:tc>
          <w:tcPr>
            <w:tcW w:w="9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4,711</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1,115</w:t>
            </w:r>
          </w:p>
        </w:tc>
        <w:tc>
          <w:tcPr>
            <w:tcW w:w="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5,266</w:t>
            </w:r>
          </w:p>
        </w:tc>
        <w:tc>
          <w:tcPr>
            <w:tcW w:w="67" w:type="dxa"/>
            <w:tcBorders/>
            <w:shd w:fill="CCEEFF" w:val="clear"/>
            <w:vAlign w:val="bottom"/>
          </w:tcPr>
          <w:p>
            <w:pPr>
              <w:pStyle w:val="TableContents"/>
              <w:bidi w:val="0"/>
              <w:spacing w:before="0" w:after="283"/>
              <w:jc w:val="left"/>
              <w:rPr/>
            </w:pPr>
            <w:r>
              <w:rPr/>
              <w:t> </w:t>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Czech Republic</w:t>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504</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138</w:t>
            </w:r>
          </w:p>
        </w:tc>
        <w:tc>
          <w:tcPr>
            <w:tcW w:w="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711</w:t>
            </w:r>
          </w:p>
        </w:tc>
        <w:tc>
          <w:tcPr>
            <w:tcW w:w="67" w:type="dxa"/>
            <w:tcBorders/>
            <w:vAlign w:val="bottom"/>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2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105</w:t>
            </w:r>
          </w:p>
        </w:tc>
        <w:tc>
          <w:tcPr>
            <w:tcW w:w="9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155</w:t>
            </w:r>
          </w:p>
        </w:tc>
        <w:tc>
          <w:tcPr>
            <w:tcW w:w="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6,683</w:t>
            </w:r>
          </w:p>
        </w:tc>
        <w:tc>
          <w:tcPr>
            <w:tcW w:w="9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5,233</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8,870</w:t>
            </w:r>
          </w:p>
        </w:tc>
        <w:tc>
          <w:tcPr>
            <w:tcW w:w="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b/>
              </w:rPr>
            </w:pPr>
            <w:r>
              <w:rPr>
                <w:b/>
              </w:rPr>
              <w:t>6,034</w:t>
            </w:r>
          </w:p>
        </w:tc>
        <w:tc>
          <w:tcPr>
            <w:tcW w:w="67"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primarily generates revenue from quantum computer system sales, including co-development projects and professional services such as training, maintenance and technical support.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2026 the Group generates revenue of EUR 144 thousand from cloud-based usage of IQM quantum computers (June 30, 2025: 31 thousand). </w:t>
      </w:r>
    </w:p>
    <w:p>
      <w:pPr>
        <w:pStyle w:val="TextBody"/>
        <w:bidi w:val="0"/>
        <w:spacing w:before="240" w:after="0"/>
        <w:jc w:val="left"/>
        <w:rPr>
          <w:rFonts w:ascii="Times New Roman" w:hAnsi="Times New Roman"/>
          <w:sz w:val="20"/>
        </w:rPr>
      </w:pPr>
      <w:r>
        <w:rPr>
          <w:rFonts w:ascii="Times New Roman" w:hAnsi="Times New Roman"/>
          <w:sz w:val="20"/>
        </w:rPr>
        <w:t xml:space="preserve">Revenue recognized over time corresponds to approximately 44% (2025: 99%) of total revenue whereas revenue recognized at point in time accounts for approximately 56% (2025: 1%) of total revenue. The increase in revenue recognized at a point in time was primarily driven by the delivery of a standardized quantum computing system to a major customer in the United States, amounting to EUR 3,576 thousand. The resulting change in the relative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proportion of revenue recognized over time and at a point in time reflects the timing and product mix of customer deliveries during the period and is not indicative of a structural change in the Group’s revenue recognition profile.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Order Backlog </w:t>
      </w:r>
    </w:p>
    <w:p>
      <w:pPr>
        <w:pStyle w:val="TextBody"/>
        <w:bidi w:val="0"/>
        <w:spacing w:before="120" w:after="0"/>
        <w:jc w:val="left"/>
        <w:rPr>
          <w:rFonts w:ascii="Times New Roman" w:hAnsi="Times New Roman"/>
          <w:sz w:val="20"/>
        </w:rPr>
      </w:pPr>
      <w:r>
        <w:rPr>
          <w:rFonts w:ascii="Times New Roman" w:hAnsi="Times New Roman"/>
          <w:sz w:val="20"/>
        </w:rPr>
        <w:t xml:space="preserve">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Order Backlog as of June 30, 2026 and June 30, 2025. For the six months ended June 30, 2026 the total order intake reduced from EUR 51,493 thousand to EUR 10,654 thousand. Given the Group’s business model, order intake can fluctuate significantly between reporting periods depending on when larger customer orders are secured. The decrease does not reflect a structural change in underlying customer demand but rather the normal timing and project size dynamics characteristic of the Group’s business.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81"/>
        <w:gridCol w:w="227"/>
        <w:gridCol w:w="78"/>
        <w:gridCol w:w="907"/>
        <w:gridCol w:w="78"/>
        <w:gridCol w:w="156"/>
        <w:gridCol w:w="78"/>
        <w:gridCol w:w="909"/>
        <w:gridCol w:w="137"/>
        <w:gridCol w:w="232"/>
        <w:gridCol w:w="69"/>
        <w:gridCol w:w="787"/>
        <w:gridCol w:w="69"/>
        <w:gridCol w:w="240"/>
        <w:gridCol w:w="69"/>
        <w:gridCol w:w="787"/>
        <w:gridCol w:w="68"/>
      </w:tblGrid>
      <w:tr>
        <w:trPr/>
        <w:tc>
          <w:tcPr>
            <w:tcW w:w="3681"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8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8" w:type="dxa"/>
            <w:tcBorders/>
            <w:vAlign w:val="bottom"/>
          </w:tcPr>
          <w:p>
            <w:pPr>
              <w:pStyle w:val="TableContents"/>
              <w:bidi w:val="0"/>
              <w:spacing w:before="0" w:after="283"/>
              <w:jc w:val="left"/>
              <w:rPr/>
            </w:pPr>
            <w:r>
              <w:rPr/>
              <w:t> </w:t>
            </w:r>
          </w:p>
        </w:tc>
      </w:tr>
      <w:tr>
        <w:trPr/>
        <w:tc>
          <w:tcPr>
            <w:tcW w:w="368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27"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reporting period</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65,457</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74,680</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67,321</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30,132</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10,332</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6,144</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10,654</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51,493</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9,871</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6,073</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9,871</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51,073</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194</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72</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267</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72</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267</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517</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349</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6,684</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5,233</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8,870</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6,034</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6,356</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5,225</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8,276</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5,654</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73</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8</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144</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31</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255</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450</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349</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reporting period</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69,106</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75,591</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69,106</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75,591</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and expenses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increased by EUR 19,289 thousand to EUR 26,201 thousand for the six months ended June 30, 2026 as compared to EUR 6,912 thousand for the six months ended June 30, 2025. General and administrative expenses increased by EUR 11,071 thousand to EUR 15,450 thousand for the three months ended June 30, 2026 as compared to EUR 4,380 thousand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for the three months and six months ended June 30, 2026 were primarily attributable to approximately EUR 9.908 thousand of transaction costs incurred in connection with the business combination and the commencement of US trading, the PIPE agreements and the Finnish initial public offering, as discussed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2025, other operating income amounted to EUR 938 thousand. During the reporting period, other operating income increased by EUR 2,204 thousand to EUR 3,142 thousand as of June 30, 2026. This increase was primarily attributable to higher subsidy income, which totaled EUR 2,905 thousand in the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Group’s grants are predominantly obtained from government bodies and European Union programs and are intended to fund research and development expenditures. Additional grants recognized during the period mainly originate from German funding programs.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69"/>
        <w:gridCol w:w="261"/>
        <w:gridCol w:w="104"/>
        <w:gridCol w:w="1002"/>
        <w:gridCol w:w="104"/>
        <w:gridCol w:w="252"/>
        <w:gridCol w:w="104"/>
        <w:gridCol w:w="667"/>
        <w:gridCol w:w="130"/>
        <w:gridCol w:w="252"/>
        <w:gridCol w:w="92"/>
        <w:gridCol w:w="868"/>
        <w:gridCol w:w="92"/>
        <w:gridCol w:w="313"/>
        <w:gridCol w:w="92"/>
        <w:gridCol w:w="603"/>
        <w:gridCol w:w="67"/>
      </w:tblGrid>
      <w:tr>
        <w:trPr/>
        <w:tc>
          <w:tcPr>
            <w:tcW w:w="3569"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5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2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30" w:type="dxa"/>
            <w:tcBorders/>
            <w:vAlign w:val="bottom"/>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356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61" w:type="dxa"/>
            <w:tcBorders/>
            <w:vAlign w:val="bottom"/>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0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0" w:type="dxa"/>
            <w:tcBorders/>
            <w:vAlign w:val="bottom"/>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9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r>
      <w:tr>
        <w:trPr/>
        <w:tc>
          <w:tcPr>
            <w:tcW w:w="3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26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1,615</w:t>
            </w:r>
          </w:p>
        </w:tc>
        <w:tc>
          <w:tcPr>
            <w:tcW w:w="10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500</w:t>
            </w:r>
          </w:p>
        </w:tc>
        <w:tc>
          <w:tcPr>
            <w:tcW w:w="130" w:type="dxa"/>
            <w:tcBorders/>
            <w:shd w:fill="CCEEFF" w:val="clear"/>
            <w:vAlign w:val="bottom"/>
          </w:tcPr>
          <w:p>
            <w:pPr>
              <w:pStyle w:val="TableContents"/>
              <w:bidi w:val="0"/>
              <w:spacing w:before="0" w:after="283"/>
              <w:jc w:val="left"/>
              <w:rPr/>
            </w:pPr>
            <w:r>
              <w:rPr/>
              <w:t> </w:t>
            </w:r>
          </w:p>
        </w:tc>
        <w:tc>
          <w:tcPr>
            <w:tcW w:w="25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2,905</w:t>
            </w:r>
          </w:p>
        </w:tc>
        <w:tc>
          <w:tcPr>
            <w:tcW w:w="9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500</w:t>
            </w:r>
          </w:p>
        </w:tc>
        <w:tc>
          <w:tcPr>
            <w:tcW w:w="67" w:type="dxa"/>
            <w:tcBorders/>
            <w:shd w:fill="CCEEFF" w:val="clear"/>
            <w:vAlign w:val="bottom"/>
          </w:tcPr>
          <w:p>
            <w:pPr>
              <w:pStyle w:val="TableContents"/>
              <w:bidi w:val="0"/>
              <w:spacing w:before="0" w:after="283"/>
              <w:jc w:val="left"/>
              <w:rPr/>
            </w:pPr>
            <w:r>
              <w:rPr/>
              <w:t> </w:t>
            </w:r>
          </w:p>
        </w:tc>
      </w:tr>
      <w:tr>
        <w:trPr/>
        <w:tc>
          <w:tcPr>
            <w:tcW w:w="3569" w:type="dxa"/>
            <w:tcBorders/>
          </w:tcPr>
          <w:p>
            <w:pPr>
              <w:pStyle w:val="TableContents"/>
              <w:bidi w:val="0"/>
              <w:spacing w:before="0" w:after="0"/>
              <w:jc w:val="left"/>
              <w:rPr>
                <w:rFonts w:ascii="Times New Roman" w:hAnsi="Times New Roman"/>
                <w:sz w:val="20"/>
              </w:rPr>
            </w:pPr>
            <w:r>
              <w:rPr>
                <w:rFonts w:ascii="Times New Roman" w:hAnsi="Times New Roman"/>
                <w:sz w:val="20"/>
              </w:rPr>
              <w:t>QPU income</w:t>
            </w:r>
          </w:p>
        </w:tc>
        <w:tc>
          <w:tcPr>
            <w:tcW w:w="26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73</w:t>
            </w:r>
          </w:p>
        </w:tc>
        <w:tc>
          <w:tcPr>
            <w:tcW w:w="10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75</w:t>
            </w:r>
          </w:p>
        </w:tc>
        <w:tc>
          <w:tcPr>
            <w:tcW w:w="130" w:type="dxa"/>
            <w:tcBorders/>
            <w:vAlign w:val="bottom"/>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130</w:t>
            </w:r>
          </w:p>
        </w:tc>
        <w:tc>
          <w:tcPr>
            <w:tcW w:w="9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219</w:t>
            </w:r>
          </w:p>
        </w:tc>
        <w:tc>
          <w:tcPr>
            <w:tcW w:w="67" w:type="dxa"/>
            <w:tcBorders/>
            <w:vAlign w:val="bottom"/>
          </w:tcPr>
          <w:p>
            <w:pPr>
              <w:pStyle w:val="TableContents"/>
              <w:bidi w:val="0"/>
              <w:spacing w:before="0" w:after="283"/>
              <w:jc w:val="left"/>
              <w:rPr/>
            </w:pPr>
            <w:r>
              <w:rPr/>
              <w:t> </w:t>
            </w:r>
          </w:p>
        </w:tc>
      </w:tr>
      <w:tr>
        <w:trPr/>
        <w:tc>
          <w:tcPr>
            <w:tcW w:w="3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lease termination</w:t>
            </w:r>
          </w:p>
        </w:tc>
        <w:tc>
          <w:tcPr>
            <w:tcW w:w="26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25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213</w:t>
            </w:r>
          </w:p>
        </w:tc>
        <w:tc>
          <w:tcPr>
            <w:tcW w:w="67" w:type="dxa"/>
            <w:tcBorders/>
            <w:shd w:fill="CCEEFF" w:val="clear"/>
            <w:vAlign w:val="bottom"/>
          </w:tcPr>
          <w:p>
            <w:pPr>
              <w:pStyle w:val="TableContents"/>
              <w:bidi w:val="0"/>
              <w:spacing w:before="0" w:after="283"/>
              <w:jc w:val="left"/>
              <w:rPr/>
            </w:pPr>
            <w:r>
              <w:rPr/>
              <w:t> </w:t>
            </w:r>
          </w:p>
        </w:tc>
      </w:tr>
      <w:tr>
        <w:trPr/>
        <w:tc>
          <w:tcPr>
            <w:tcW w:w="356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6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31</w:t>
            </w:r>
          </w:p>
        </w:tc>
        <w:tc>
          <w:tcPr>
            <w:tcW w:w="10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107</w:t>
            </w:r>
          </w:p>
        </w:tc>
        <w:tc>
          <w:tcPr>
            <w:tcW w:w="9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6</w:t>
            </w:r>
          </w:p>
        </w:tc>
        <w:tc>
          <w:tcPr>
            <w:tcW w:w="67" w:type="dxa"/>
            <w:tcBorders/>
            <w:vAlign w:val="bottom"/>
          </w:tcPr>
          <w:p>
            <w:pPr>
              <w:pStyle w:val="TableContents"/>
              <w:bidi w:val="0"/>
              <w:spacing w:before="0" w:after="283"/>
              <w:jc w:val="left"/>
              <w:rPr/>
            </w:pPr>
            <w:r>
              <w:rPr/>
              <w:t> </w:t>
            </w:r>
          </w:p>
        </w:tc>
      </w:tr>
      <w:tr>
        <w:trPr/>
        <w:tc>
          <w:tcPr>
            <w:tcW w:w="3569"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5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6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b/>
              </w:rPr>
            </w:pPr>
            <w:r>
              <w:rPr>
                <w:b/>
              </w:rPr>
              <w:t>1,719</w:t>
            </w:r>
          </w:p>
        </w:tc>
        <w:tc>
          <w:tcPr>
            <w:tcW w:w="10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576</w:t>
            </w:r>
          </w:p>
        </w:tc>
        <w:tc>
          <w:tcPr>
            <w:tcW w:w="130" w:type="dxa"/>
            <w:tcBorders/>
            <w:shd w:fill="CCEEFF" w:val="clear"/>
            <w:vAlign w:val="bottom"/>
          </w:tcPr>
          <w:p>
            <w:pPr>
              <w:pStyle w:val="TableContents"/>
              <w:bidi w:val="0"/>
              <w:spacing w:before="0" w:after="283"/>
              <w:jc w:val="left"/>
              <w:rPr/>
            </w:pPr>
            <w:r>
              <w:rPr/>
              <w:t> </w:t>
            </w:r>
          </w:p>
        </w:tc>
        <w:tc>
          <w:tcPr>
            <w:tcW w:w="25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b/>
              </w:rPr>
            </w:pPr>
            <w:r>
              <w:rPr>
                <w:b/>
              </w:rPr>
              <w:t>3,142</w:t>
            </w:r>
          </w:p>
        </w:tc>
        <w:tc>
          <w:tcPr>
            <w:tcW w:w="9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b/>
              </w:rPr>
            </w:pPr>
            <w:r>
              <w:rPr>
                <w:b/>
              </w:rPr>
              <w:t>938</w:t>
            </w:r>
          </w:p>
        </w:tc>
        <w:tc>
          <w:tcPr>
            <w:tcW w:w="67" w:type="dxa"/>
            <w:tcBorders/>
            <w:shd w:fill="CCEEFF" w:val="clear"/>
            <w:vAlign w:val="bottom"/>
          </w:tcPr>
          <w:p>
            <w:pPr>
              <w:pStyle w:val="TableContents"/>
              <w:bidi w:val="0"/>
              <w:spacing w:before="0" w:after="283"/>
              <w:jc w:val="left"/>
              <w:rPr/>
            </w:pPr>
            <w:r>
              <w:rPr/>
              <w:t> </w:t>
            </w:r>
          </w:p>
        </w:tc>
      </w:tr>
      <w:tr>
        <w:trPr/>
        <w:tc>
          <w:tcPr>
            <w:tcW w:w="3569"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Finance Income and Expenses </w:t>
      </w:r>
    </w:p>
    <w:p>
      <w:pPr>
        <w:pStyle w:val="TextBody"/>
        <w:bidi w:val="0"/>
        <w:spacing w:before="120" w:after="0"/>
        <w:jc w:val="left"/>
        <w:rPr>
          <w:rFonts w:ascii="Times New Roman" w:hAnsi="Times New Roman"/>
          <w:sz w:val="20"/>
        </w:rPr>
      </w:pPr>
      <w:r>
        <w:rPr>
          <w:rFonts w:ascii="Times New Roman" w:hAnsi="Times New Roman"/>
          <w:sz w:val="20"/>
        </w:rPr>
        <w:t xml:space="preserve">Finance result for the six-month periods ended June 30, 2026 and June 30, 2025 comprises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39"/>
        <w:gridCol w:w="221"/>
        <w:gridCol w:w="104"/>
        <w:gridCol w:w="995"/>
        <w:gridCol w:w="104"/>
        <w:gridCol w:w="210"/>
        <w:gridCol w:w="104"/>
        <w:gridCol w:w="704"/>
        <w:gridCol w:w="131"/>
        <w:gridCol w:w="214"/>
        <w:gridCol w:w="74"/>
        <w:gridCol w:w="886"/>
        <w:gridCol w:w="74"/>
        <w:gridCol w:w="243"/>
        <w:gridCol w:w="74"/>
        <w:gridCol w:w="728"/>
        <w:gridCol w:w="67"/>
      </w:tblGrid>
      <w:tr>
        <w:trPr/>
        <w:tc>
          <w:tcPr>
            <w:tcW w:w="3639"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3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20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363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21"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Finance income</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440</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588</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977</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628</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liabilities</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39</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335</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assets</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1,260</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4,090</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income</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6</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income</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1,700</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b/>
              </w:rPr>
            </w:pPr>
            <w:r>
              <w:rPr>
                <w:b/>
              </w:rPr>
              <w:t>626</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5,067</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969</w:t>
            </w:r>
          </w:p>
        </w:tc>
        <w:tc>
          <w:tcPr>
            <w:tcW w:w="67" w:type="dxa"/>
            <w:tcBorders/>
            <w:vAlign w:val="bottom"/>
          </w:tcPr>
          <w:p>
            <w:pPr>
              <w:pStyle w:val="TableContents"/>
              <w:bidi w:val="0"/>
              <w:spacing w:before="0" w:after="283"/>
              <w:jc w:val="left"/>
              <w:rPr/>
            </w:pPr>
            <w:r>
              <w:rPr/>
              <w:t> </w:t>
            </w:r>
          </w:p>
        </w:tc>
      </w:tr>
      <w:tr>
        <w:trPr/>
        <w:tc>
          <w:tcPr>
            <w:tcW w:w="363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Finance expense</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 from financial liabilities</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1,365</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336</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2,291</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527</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130</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164</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263</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294</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Fair Value losses from financial liabilities</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3,494</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14,157</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2,822</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expenses</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2,308</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49</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2,589</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116</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rate loss</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39</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58</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100</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91</w:t>
            </w:r>
          </w:p>
        </w:tc>
        <w:tc>
          <w:tcPr>
            <w:tcW w:w="67" w:type="dxa"/>
            <w:tcBorders/>
            <w:vAlign w:val="bottom"/>
          </w:tcPr>
          <w:p>
            <w:pPr>
              <w:pStyle w:val="TableContents"/>
              <w:bidi w:val="0"/>
              <w:spacing w:before="0" w:after="283"/>
              <w:jc w:val="left"/>
              <w:rPr/>
            </w:pPr>
            <w:r>
              <w:rPr/>
              <w:t> </w:t>
            </w:r>
          </w:p>
        </w:tc>
      </w:tr>
      <w:tr>
        <w:trPr/>
        <w:tc>
          <w:tcPr>
            <w:tcW w:w="363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3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expense</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7,336</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b/>
              </w:rPr>
            </w:pPr>
            <w:r>
              <w:rPr>
                <w:b/>
              </w:rPr>
              <w:t>607</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19,400</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3,850</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2025, finance income amounted to EUR 969 thousand. During the reporting period, finance income increased by EUR 4,098 thousand to EUR 5,067 thousand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Interest income mainly comprises interest earned on bank account balances. It increased by EUR 349 thousand, from EUR 628 thousand for the six months ended June 30, 2025 to EUR 977 thousand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Finance income is further mainly influenced by fair value gains on derivative financial assets and liabilities, which increased by EUR 3,751 thousand, from fair value gains on financial liabilities of EUR 335 thousand for the six months ended June 30, 2025 to fair value gains on financial assets of EUR 4,086 thousand for the six months ended June 30, 2026. These fair value gains result from the remeasurement of the embedded derivatives in private investments in public equity (PIPE) Financing Agreement, which is measured at FVtPL. For more information please see Note 7. </w:t>
      </w:r>
    </w:p>
    <w:p>
      <w:pPr>
        <w:pStyle w:val="TextBody"/>
        <w:bidi w:val="0"/>
        <w:spacing w:before="240" w:after="0"/>
        <w:jc w:val="left"/>
        <w:rPr>
          <w:rFonts w:ascii="Times New Roman" w:hAnsi="Times New Roman"/>
          <w:sz w:val="20"/>
        </w:rPr>
      </w:pPr>
      <w:r>
        <w:rPr>
          <w:rFonts w:ascii="Times New Roman" w:hAnsi="Times New Roman"/>
          <w:sz w:val="20"/>
        </w:rPr>
        <w:t xml:space="preserve">Additionally, changes in the fair value of the investment fund in the amount of EUR 4 thousand are booked as fair value gains on financial assets within the finance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2025, total finance expenses amounted to EUR 3,850 thousand. During the reporting period, finance income expenses by EUR 15,550 thousand to EUR 19,400 thousand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Fair value measurement losses on derivative liabilities increased significantly by EUR 11,335 thousand, from EUR 2,822 thousand for the six months ended June 30, 2025 to EUR 14,157 thousand for the six months ended June 30, 2026. This increase was mainly attributable to the increase in the underlying share price used to measure the conversion feature of the Aalto Loan. The amount also includes fair value measurement losses recognized in respect of the derivative financial liability arising from the Kreos warrants.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expenses on financial liabilities increased by EUR 1,764 thousand, from EUR 527 thousand for the six months ended June 30, 2025 to EUR 2,291 thousand for the six months ended June 30, 2026. This increase mainly results from the changes in estimated cashflows on the Kreos loan, following the early repayment of the loan effective July 31, 2026.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interest expense on lease liabilities decreased by EUR 31 thousand from EUR 294 thousand for the six months ended June 30, 2025 to EUR 263 thousand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Other financial expenses increased by EUR 2,473 thousand, from EUR 116 thousand for the six months ended June 30, 2025 to EUR 2,589 thousand for the six months ended June 30, 2026. This increase mainly resulted from the derecognition of previously capitalized transaction costs relating to Tranche B of the Kreos Loan Agreement, which will no longer be drawn following the prepayment of Tranche A.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w:t>
      </w:r>
    </w:p>
    <w:p>
      <w:pPr>
        <w:pStyle w:val="TextBody"/>
        <w:bidi w:val="0"/>
        <w:spacing w:before="120" w:after="0"/>
        <w:jc w:val="left"/>
        <w:rPr>
          <w:rFonts w:ascii="Times New Roman" w:hAnsi="Times New Roman"/>
          <w:sz w:val="20"/>
        </w:rPr>
      </w:pPr>
      <w:r>
        <w:rPr>
          <w:rFonts w:ascii="Times New Roman" w:hAnsi="Times New Roman"/>
          <w:sz w:val="20"/>
        </w:rPr>
        <w:t>The Group calculates the period income tax expense using the tax rate that would be applicable to the expected total annual earnings. The major components of income tax expense in the interim condensed consolidated statement of loss are:</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63"/>
        <w:gridCol w:w="314"/>
        <w:gridCol w:w="121"/>
        <w:gridCol w:w="681"/>
        <w:gridCol w:w="317"/>
        <w:gridCol w:w="425"/>
        <w:gridCol w:w="121"/>
        <w:gridCol w:w="684"/>
        <w:gridCol w:w="155"/>
        <w:gridCol w:w="314"/>
        <w:gridCol w:w="103"/>
        <w:gridCol w:w="656"/>
        <w:gridCol w:w="273"/>
        <w:gridCol w:w="391"/>
        <w:gridCol w:w="102"/>
        <w:gridCol w:w="589"/>
        <w:gridCol w:w="163"/>
      </w:tblGrid>
      <w:tr>
        <w:trPr/>
        <w:tc>
          <w:tcPr>
            <w:tcW w:w="3163"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3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63"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14"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6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314"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656"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Current corporate income tax</w:t>
            </w:r>
          </w:p>
        </w:tc>
        <w:tc>
          <w:tcPr>
            <w:tcW w:w="314"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(21</w:t>
            </w:r>
          </w:p>
        </w:tc>
        <w:tc>
          <w:tcPr>
            <w:tcW w:w="31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(27</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expense</w:t>
            </w:r>
          </w:p>
        </w:tc>
        <w:tc>
          <w:tcPr>
            <w:tcW w:w="314"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w:t>
            </w:r>
          </w:p>
        </w:tc>
        <w:tc>
          <w:tcPr>
            <w:tcW w:w="31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(56</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317"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273"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4"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b/>
              </w:rPr>
            </w:pPr>
            <w:r>
              <w:rPr>
                <w:b/>
              </w:rPr>
              <w:t>(22</w:t>
            </w:r>
          </w:p>
        </w:tc>
        <w:tc>
          <w:tcPr>
            <w:tcW w:w="317" w:type="dxa"/>
            <w:tcBorders/>
            <w:vAlign w:val="bottom"/>
          </w:tcPr>
          <w:p>
            <w:pPr>
              <w:pStyle w:val="TableContents"/>
              <w:bidi w:val="0"/>
              <w:spacing w:before="0" w:after="283"/>
              <w:jc w:val="left"/>
              <w:rPr>
                <w:b/>
              </w:rPr>
            </w:pPr>
            <w:r>
              <w:rPr>
                <w:b/>
              </w:rPr>
              <w:t>) </w:t>
            </w:r>
          </w:p>
        </w:tc>
        <w:tc>
          <w:tcPr>
            <w:tcW w:w="42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b/>
              </w:rPr>
            </w:pPr>
            <w:r>
              <w:rPr>
                <w:b/>
              </w:rPr>
              <w:t>(57</w:t>
            </w:r>
          </w:p>
        </w:tc>
        <w:tc>
          <w:tcPr>
            <w:tcW w:w="155" w:type="dxa"/>
            <w:tcBorders/>
            <w:vAlign w:val="bottom"/>
          </w:tcPr>
          <w:p>
            <w:pPr>
              <w:pStyle w:val="TableContents"/>
              <w:bidi w:val="0"/>
              <w:spacing w:before="0" w:after="283"/>
              <w:jc w:val="left"/>
              <w:rPr>
                <w:b/>
              </w:rPr>
            </w:pPr>
            <w:r>
              <w:rPr>
                <w:b/>
              </w:rPr>
              <w:t>) </w:t>
            </w:r>
          </w:p>
        </w:tc>
        <w:tc>
          <w:tcPr>
            <w:tcW w:w="31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b/>
              </w:rPr>
            </w:pPr>
            <w:r>
              <w:rPr>
                <w:b/>
              </w:rPr>
              <w:t>(27</w:t>
            </w:r>
          </w:p>
        </w:tc>
        <w:tc>
          <w:tcPr>
            <w:tcW w:w="273" w:type="dxa"/>
            <w:tcBorders/>
            <w:vAlign w:val="bottom"/>
          </w:tcPr>
          <w:p>
            <w:pPr>
              <w:pStyle w:val="TableContents"/>
              <w:bidi w:val="0"/>
              <w:spacing w:before="0" w:after="283"/>
              <w:jc w:val="left"/>
              <w:rPr>
                <w:b/>
              </w:rPr>
            </w:pPr>
            <w:r>
              <w:rPr>
                <w:b/>
              </w:rPr>
              <w:t>) </w:t>
            </w:r>
          </w:p>
        </w:tc>
        <w:tc>
          <w:tcPr>
            <w:tcW w:w="39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b/>
              </w:rPr>
            </w:pPr>
            <w:r>
              <w:rPr>
                <w:b/>
              </w:rPr>
              <w:t>(59</w:t>
            </w:r>
          </w:p>
        </w:tc>
        <w:tc>
          <w:tcPr>
            <w:tcW w:w="163" w:type="dxa"/>
            <w:tcBorders/>
            <w:vAlign w:val="bottom"/>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reflects the income and share data used in the basic and diluted EPS calculations: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74"/>
        <w:gridCol w:w="174"/>
        <w:gridCol w:w="60"/>
        <w:gridCol w:w="1188"/>
        <w:gridCol w:w="155"/>
        <w:gridCol w:w="174"/>
        <w:gridCol w:w="60"/>
        <w:gridCol w:w="1188"/>
        <w:gridCol w:w="155"/>
        <w:gridCol w:w="174"/>
        <w:gridCol w:w="60"/>
        <w:gridCol w:w="1188"/>
        <w:gridCol w:w="155"/>
        <w:gridCol w:w="174"/>
        <w:gridCol w:w="60"/>
        <w:gridCol w:w="1188"/>
        <w:gridCol w:w="161"/>
      </w:tblGrid>
      <w:tr>
        <w:trPr/>
        <w:tc>
          <w:tcPr>
            <w:tcW w:w="307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8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8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61"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Earnings per share</w:t>
            </w:r>
          </w:p>
        </w:tc>
        <w:tc>
          <w:tcPr>
            <w:tcW w:w="174"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w:t>
            </w:r>
            <w:r>
              <w:rPr>
                <w:rFonts w:ascii="Times New Roman" w:hAnsi="Times New Roman"/>
                <w:i/>
                <w:sz w:val="20"/>
              </w:rPr>
              <w:t>in EUR thousand</w:t>
            </w:r>
            <w:r>
              <w:rPr>
                <w:rFonts w:ascii="Times New Roman" w:hAnsi="Times New Roman"/>
                <w:sz w:val="20"/>
              </w:rPr>
              <w:t>) attributable to equity holders of the Company</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(36,554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(15,005</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(74,897</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(34,575</w:t>
            </w:r>
          </w:p>
        </w:tc>
        <w:tc>
          <w:tcPr>
            <w:tcW w:w="161"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Basic/Diluted weighted average number of ordinary shares outstanding</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30,881,526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30,566,520</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29,995,323</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30,566,520</w:t>
            </w:r>
          </w:p>
        </w:tc>
        <w:tc>
          <w:tcPr>
            <w:tcW w:w="161"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Basic/Diluted loss per share (EUR/share) on total group</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(1.18</w:t>
            </w:r>
          </w:p>
        </w:tc>
        <w:tc>
          <w:tcPr>
            <w:tcW w:w="155"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(0.49</w:t>
            </w:r>
          </w:p>
        </w:tc>
        <w:tc>
          <w:tcPr>
            <w:tcW w:w="155"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(2.50</w:t>
            </w:r>
          </w:p>
        </w:tc>
        <w:tc>
          <w:tcPr>
            <w:tcW w:w="155"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(1.13</w:t>
            </w:r>
          </w:p>
        </w:tc>
        <w:tc>
          <w:tcPr>
            <w:tcW w:w="161" w:type="dxa"/>
            <w:tcBorders/>
            <w:shd w:fill="CCEEFF" w:val="clear"/>
            <w:vAlign w:val="bottom"/>
          </w:tcPr>
          <w:p>
            <w:pPr>
              <w:pStyle w:val="TableContents"/>
              <w:bidi w:val="0"/>
              <w:spacing w:before="0" w:after="283"/>
              <w:jc w:val="left"/>
              <w:rPr>
                <w:b/>
              </w:rPr>
            </w:pPr>
            <w:r>
              <w:rPr>
                <w:b/>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 split has been applied retrospectively to the weighted average number of ordinary shares for all periods presented above, including the comparative period ended 30 June 2025. </w:t>
      </w:r>
    </w:p>
    <w:p>
      <w:pPr>
        <w:pStyle w:val="TextBody"/>
        <w:bidi w:val="0"/>
        <w:spacing w:before="240" w:after="0"/>
        <w:jc w:val="left"/>
        <w:rPr/>
      </w:pPr>
      <w:r>
        <w:rPr>
          <w:rFonts w:ascii="Times New Roman" w:hAnsi="Times New Roman"/>
          <w:sz w:val="20"/>
        </w:rPr>
        <w:t xml:space="preserve">As the capital reorganisation took effect only in the last three days of the reporting period, they had only a marginal effect on the weighted average number of ordinary shares, notwithstanding the substantial increase in ordinary shares issued and outstanding (excluding treasury shares) by the end of the period. Upon completion of the business combination on 1 July 2026, the newly issued 102,700,000 treasury shares were used, in part, as consideration for RAAQ shareholders and PIPE investors and ceased to be treasury shares. Refer to Note 6 for details of the conversion of preferred shares into ordinary shares (effective 28 June 2026) and the share split (effective 30 June 2026), and to Note </w:t>
      </w:r>
      <w:hyperlink w:anchor="fin_rider36013_1">
        <w:r>
          <w:rPr>
            <w:rStyle w:val="InternetLink"/>
            <w:rFonts w:ascii="Times New Roman" w:hAnsi="Times New Roman"/>
            <w:sz w:val="20"/>
          </w:rPr>
          <w:t>12</w:t>
        </w:r>
      </w:hyperlink>
      <w:r>
        <w:rPr>
          <w:rFonts w:ascii="Times New Roman" w:hAnsi="Times New Roman"/>
          <w:sz w:val="20"/>
        </w:rPr>
        <w:t xml:space="preserve"> “Events after the reporting date” for details of the completion of the business combination with Real Asset Acquisition Corp. (“RAAQ”) on 1 July 2026 and the related listings on Nasdaq and Nasdaq Helsinki.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Non-financial assets and liabilities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cost of patents remained unchanged at EUR 1,577 thousand as of June 30, 2026 (June 30, 2025: EUR 1,577 thousand). No additions or disposals were recognized during the reporting periods. </w:t>
      </w:r>
    </w:p>
    <w:p>
      <w:pPr>
        <w:pStyle w:val="TextBody"/>
        <w:bidi w:val="0"/>
        <w:spacing w:before="240" w:after="0"/>
        <w:jc w:val="left"/>
        <w:rPr>
          <w:rFonts w:ascii="Times New Roman" w:hAnsi="Times New Roman"/>
          <w:sz w:val="20"/>
        </w:rPr>
      </w:pPr>
      <w:r>
        <w:rPr>
          <w:rFonts w:ascii="Times New Roman" w:hAnsi="Times New Roman"/>
          <w:sz w:val="20"/>
        </w:rPr>
        <w:t xml:space="preserve">Cumulative amortization and impairment losses amounted to EUR 736 thousand as of June 30, 2026 (December 31, 2025: EUR 657 thousand). Amortization expense recognized during the reporting period amounted to EUR 79 thousand (June 30, 2025: EUR 79 thousand).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carrying amount of patents decreased to EUR 841 thousand as of June 30, 2026 (December 31, 2025: EUR 920 thousand). </w:t>
      </w:r>
    </w:p>
    <w:p>
      <w:pPr>
        <w:pStyle w:val="TextBody"/>
        <w:bidi w:val="0"/>
        <w:spacing w:before="240" w:after="0"/>
        <w:jc w:val="left"/>
        <w:rPr>
          <w:rFonts w:ascii="Times New Roman" w:hAnsi="Times New Roman"/>
          <w:sz w:val="20"/>
        </w:rPr>
      </w:pPr>
      <w:r>
        <w:rPr>
          <w:rFonts w:ascii="Times New Roman" w:hAnsi="Times New Roman"/>
          <w:sz w:val="20"/>
        </w:rPr>
        <w:t xml:space="preserve">In the reporting period and in the fiscal year 2025, no impairment losses were 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June 30, 2026, the Group acquired assets with a cost of EUR 7,159 thousand (June 30, 2025: EUR 2,735 thousand). Of this amount, EUR 6,040 thousand relates to leasehold improvements, EUR 1,003 thousand relates to machinery and equipment, EUR 9 thousand relates to office and other equipment and EUR 106 thousand to advance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For the six-month period ended June 30, 2026, the Group recognized additions to right-of-use assets and lease liabilities amounting to EUR 308 thousand.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right-of-use assets amounted to EUR 10,949 thousand. During the six months ended June 30, 2026, right-of-use assets decreased by EUR 905 thousand to EUR 10,044 thousand. For the six months ended June 30, 2026, depreciation of right-of-use assets amounted to EUR 1,207 thousand. For the three months ended June 30, 2026, depreciation of right-of-use assets amounted to EUR 606 thousand.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lease liabilities amounted to EUR 14,660 thousand. During the six months ended June 30, 2026, lease liabilities decreased by EUR 1,013 thousand to EUR 13,646 thousand. For the six months ended June 30, 2026, repayments of lease liabilities amounted to EUR 1,310 thousand and interest paid on lease liabilities amounted to EUR 263 thousand. For the three months ended June 30, 2026, repayments of lease liabilities amounted to EUR 665 thousand and interest paid on lease liabilities amounted to EUR 130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inventories amounted to EUR 13,491 thousand. During the reporting period, inventories increased by EUR 11,961 thousand to EUR 25,452 thousand as of June 30, 2026. The increase was primarily driven by higher acquisitions of raw materials and other consumables required for production in the amount of EUR 12,012 thousand. This development reflects the Group’s ongoing procurement activities to support current production and long-term business requirements. It was also influenced by higher procurement costs for memory components resulting from increased global demand and broader macroeconomic uncertainties. While the Group continues to monitor input cost developments and seeks to mitigate their impact through commercial measures, sustained increases in the cost of key components could have an adverse effect on future margins to the extent they cannot be passed on to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other current assets amounted to EUR 2,371 thousand. During the reporting period, they increased by EUR 9,188 thousand to EUR 11,559 thousand as of June 30, 2026. The increase was primarily driven due to increased advance payments made for raw materials, components, and other production-related goods to vendors required for future delivery in the amount of EUR 8,466 thousand. These prepayments relate exclusively to goods and services intended for use in production and subsequent sale, rather than long-term capital expenditure or internal asset development.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 settlement agreement to terminate a supply agreement for the purchase of an industrial system under development. The system refers to automated testing equipment used to characterize and validate the performance of quantum chips, verifying that qubits function correctly before deployment. At the date of termination, the system was recognized within other assets at a carrying amount of EUR 1,000 thousand which corresponds to the refund of EUR 1,000 thousand the Company is entitled to. The system was derecognized at its carrying amount, resulting in no gain or loss on derecognition.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payment </w:t>
      </w:r>
    </w:p>
    <w:p>
      <w:pPr>
        <w:pStyle w:val="TextBody"/>
        <w:bidi w:val="0"/>
        <w:spacing w:before="120" w:after="0"/>
        <w:jc w:val="left"/>
        <w:rPr>
          <w:rFonts w:ascii="Times New Roman" w:hAnsi="Times New Roman"/>
          <w:sz w:val="20"/>
        </w:rPr>
      </w:pPr>
      <w:r>
        <w:rPr>
          <w:rFonts w:ascii="Times New Roman" w:hAnsi="Times New Roman"/>
          <w:sz w:val="20"/>
        </w:rPr>
        <w:t xml:space="preserve">IQM has an Employee Stock Ownership Plan (ESOP) in place to provide long-term incentives to its employees and selected service providers. The program was initiated in 2019 and grants share options that entitle participants to acquire IQM shares upon exercise. </w:t>
      </w:r>
    </w:p>
    <w:p>
      <w:pPr>
        <w:pStyle w:val="TextBody"/>
        <w:bidi w:val="0"/>
        <w:spacing w:before="240" w:after="0"/>
        <w:jc w:val="left"/>
        <w:rPr>
          <w:rFonts w:ascii="Times New Roman" w:hAnsi="Times New Roman"/>
          <w:sz w:val="20"/>
        </w:rPr>
      </w:pPr>
      <w:r>
        <w:rPr>
          <w:rFonts w:ascii="Times New Roman" w:hAnsi="Times New Roman"/>
          <w:sz w:val="20"/>
        </w:rPr>
        <w:t xml:space="preserve">The share options are subject to graded vesting: 25% vest one year after the grant date, with the remaining 75% vesting in equal monthly installments (1/48th) over the following three years. Full vesting is conditional upon continuous employment with IQM throughout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options become exercisable four years after the grant date and can be exercised at latest 14 years after beginning of the subscription period. </w:t>
      </w:r>
    </w:p>
    <w:p>
      <w:pPr>
        <w:pStyle w:val="TextBody"/>
        <w:bidi w:val="0"/>
        <w:spacing w:before="240" w:after="0"/>
        <w:jc w:val="left"/>
        <w:rPr>
          <w:rFonts w:ascii="Times New Roman" w:hAnsi="Times New Roman"/>
          <w:sz w:val="20"/>
        </w:rPr>
      </w:pPr>
      <w:r>
        <w:rPr>
          <w:rFonts w:ascii="Times New Roman" w:hAnsi="Times New Roman"/>
          <w:sz w:val="20"/>
        </w:rPr>
        <w:t xml:space="preserve">As of the reporting date, 18,997,400 share options were outstanding (June 30, 2025: 11,849,085), with a weighted average remaining contractual life of 12.87 years (June 30, 2025: 12.70 years) and a weighted average fair value of EUR 3.13 per option (June 30, 2025: EUR 1.42). Of the outstanding options 154,302 (June 30, 2025: 154,302) were granted to external service providers. Of the newly granted options 1,157,278 were granted to Key Management Personnel (June 30, 2025: 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1781"/>
        <w:gridCol w:w="276"/>
        <w:gridCol w:w="60"/>
        <w:gridCol w:w="1107"/>
        <w:gridCol w:w="155"/>
        <w:gridCol w:w="276"/>
        <w:gridCol w:w="224"/>
        <w:gridCol w:w="1643"/>
        <w:gridCol w:w="60"/>
        <w:gridCol w:w="276"/>
        <w:gridCol w:w="60"/>
        <w:gridCol w:w="1107"/>
        <w:gridCol w:w="155"/>
        <w:gridCol w:w="275"/>
        <w:gridCol w:w="224"/>
        <w:gridCol w:w="1643"/>
        <w:gridCol w:w="66"/>
      </w:tblGrid>
      <w:tr>
        <w:trPr/>
        <w:tc>
          <w:tcPr>
            <w:tcW w:w="178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78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3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34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6" w:type="dxa"/>
            <w:tcBorders/>
            <w:vAlign w:val="bottom"/>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at January 1,</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b/>
              </w:rPr>
            </w:pPr>
            <w:r>
              <w:rPr>
                <w:b/>
              </w:rPr>
              <w:t>14,137,409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3.05</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b/>
              </w:rPr>
            </w:pPr>
            <w:r>
              <w:rPr>
                <w:b/>
              </w:rPr>
              <w:t>11,702,592</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3.00</w:t>
            </w:r>
          </w:p>
        </w:tc>
        <w:tc>
          <w:tcPr>
            <w:tcW w:w="66"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5,139,087</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5.20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708,833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4.26</w:t>
            </w:r>
          </w:p>
        </w:tc>
        <w:tc>
          <w:tcPr>
            <w:tcW w:w="66" w:type="dxa"/>
            <w:tcBorders/>
            <w:vAlign w:val="bottom"/>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year</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(96,439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Forfeited during the year</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(182,657</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0.05</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(562,340</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0.03</w:t>
            </w:r>
          </w:p>
        </w:tc>
        <w:tc>
          <w:tcPr>
            <w:tcW w:w="66"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at June 30,</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b/>
              </w:rPr>
            </w:pPr>
            <w:r>
              <w:rPr>
                <w:b/>
              </w:rPr>
              <w:t>18,997,400</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3.87</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b/>
              </w:rPr>
            </w:pPr>
            <w:r>
              <w:rPr>
                <w:b/>
              </w:rPr>
              <w:t>11,849,085</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3.06</w:t>
            </w:r>
          </w:p>
        </w:tc>
        <w:tc>
          <w:tcPr>
            <w:tcW w:w="66"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i/>
                <w:sz w:val="20"/>
              </w:rPr>
            </w:pPr>
            <w:r>
              <w:rPr>
                <w:rFonts w:ascii="Times New Roman" w:hAnsi="Times New Roman"/>
                <w:i/>
                <w:sz w:val="20"/>
              </w:rPr>
              <w:t>Vested and exercisable at December 31,</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i/>
              </w:rPr>
            </w:pPr>
            <w:r>
              <w:rPr>
                <w:i/>
              </w:rPr>
              <w:t>6,227,025</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i/>
              </w:rPr>
            </w:pPr>
            <w:r>
              <w:rPr>
                <w:i/>
              </w:rPr>
              <w:t>2.08</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i/>
              </w:rPr>
            </w:pPr>
            <w:r>
              <w:rPr>
                <w:i/>
              </w:rPr>
              <w:t>3,772,341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i/>
              </w:rPr>
            </w:pPr>
            <w:r>
              <w:rPr>
                <w:i/>
              </w:rPr>
              <w:t>1.39</w:t>
            </w:r>
          </w:p>
        </w:tc>
        <w:tc>
          <w:tcPr>
            <w:tcW w:w="66"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ESOP is classified as an equity-settled share-based payment transaction, as it is settled in equity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share options is determined using a Black-Scholes option pricing model. Service conditions are not considered in the fair value measurement but are reflected in the recognition of the expense over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grants is only measured at grant date and is recorded over the vesting period in profit and loss and the capital 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parameters were used as basis for the fair value measurement in the reporting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212"/>
        <w:gridCol w:w="140"/>
        <w:gridCol w:w="60"/>
        <w:gridCol w:w="2017"/>
        <w:gridCol w:w="288"/>
        <w:gridCol w:w="83"/>
        <w:gridCol w:w="60"/>
        <w:gridCol w:w="926"/>
        <w:gridCol w:w="275"/>
        <w:gridCol w:w="83"/>
        <w:gridCol w:w="60"/>
        <w:gridCol w:w="1990"/>
        <w:gridCol w:w="275"/>
        <w:gridCol w:w="83"/>
        <w:gridCol w:w="60"/>
        <w:gridCol w:w="1493"/>
        <w:gridCol w:w="283"/>
      </w:tblGrid>
      <w:tr>
        <w:trPr/>
        <w:tc>
          <w:tcPr>
            <w:tcW w:w="121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4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39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283" w:type="dxa"/>
            <w:tcBorders/>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3"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at grant date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7,2 - 7,53</w:t>
            </w:r>
          </w:p>
        </w:tc>
        <w:tc>
          <w:tcPr>
            <w:tcW w:w="2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3.56</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0" w:type="dxa"/>
            <w:tcBorders/>
            <w:shd w:fill="CCEEFF" w:val="clear"/>
            <w:vAlign w:val="bottom"/>
          </w:tcPr>
          <w:p>
            <w:pPr>
              <w:pStyle w:val="TableContents"/>
              <w:bidi w:val="0"/>
              <w:spacing w:before="0" w:after="283"/>
              <w:jc w:val="right"/>
              <w:rPr/>
            </w:pPr>
            <w:r>
              <w:rPr/>
              <w:t>7,11 - 7,53</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3,56 - 3,65</w:t>
            </w:r>
          </w:p>
        </w:tc>
        <w:tc>
          <w:tcPr>
            <w:tcW w:w="283"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at grant date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8.78</w:t>
            </w:r>
          </w:p>
        </w:tc>
        <w:tc>
          <w:tcPr>
            <w:tcW w:w="2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4.92</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tcBorders/>
            <w:vAlign w:val="bottom"/>
          </w:tcPr>
          <w:p>
            <w:pPr>
              <w:pStyle w:val="TableContents"/>
              <w:bidi w:val="0"/>
              <w:spacing w:before="0" w:after="283"/>
              <w:jc w:val="right"/>
              <w:rPr/>
            </w:pPr>
            <w:r>
              <w:rPr/>
              <w:t>8,49 - 8,78</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4,92 - 4,92</w:t>
            </w:r>
          </w:p>
        </w:tc>
        <w:tc>
          <w:tcPr>
            <w:tcW w:w="283"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4,92 - 7,54</w:t>
            </w:r>
          </w:p>
        </w:tc>
        <w:tc>
          <w:tcPr>
            <w:tcW w:w="2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4.92</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0" w:type="dxa"/>
            <w:tcBorders/>
            <w:shd w:fill="CCEEFF" w:val="clear"/>
            <w:vAlign w:val="bottom"/>
          </w:tcPr>
          <w:p>
            <w:pPr>
              <w:pStyle w:val="TableContents"/>
              <w:bidi w:val="0"/>
              <w:spacing w:before="0" w:after="283"/>
              <w:jc w:val="right"/>
              <w:rPr/>
            </w:pPr>
            <w:r>
              <w:rPr/>
              <w:t>4,92 - 7,54</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4,26 - 4,92</w:t>
            </w:r>
          </w:p>
        </w:tc>
        <w:tc>
          <w:tcPr>
            <w:tcW w:w="283"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126,83% - 128,77%</w:t>
            </w:r>
          </w:p>
        </w:tc>
        <w:tc>
          <w:tcPr>
            <w:tcW w:w="2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105,94%</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tcBorders/>
            <w:vAlign w:val="bottom"/>
          </w:tcPr>
          <w:p>
            <w:pPr>
              <w:pStyle w:val="TableContents"/>
              <w:bidi w:val="0"/>
              <w:spacing w:before="0" w:after="283"/>
              <w:jc w:val="right"/>
              <w:rPr/>
            </w:pPr>
            <w:r>
              <w:rPr/>
              <w:t>126,83% - 128,77%</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105,94%</w:t>
            </w:r>
          </w:p>
        </w:tc>
        <w:tc>
          <w:tcPr>
            <w:tcW w:w="283"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life (years)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3,75 -  4,00</w:t>
            </w:r>
          </w:p>
        </w:tc>
        <w:tc>
          <w:tcPr>
            <w:tcW w:w="2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0" w:type="dxa"/>
            <w:tcBorders/>
            <w:shd w:fill="CCEEFF" w:val="clear"/>
            <w:vAlign w:val="bottom"/>
          </w:tcPr>
          <w:p>
            <w:pPr>
              <w:pStyle w:val="TableContents"/>
              <w:bidi w:val="0"/>
              <w:spacing w:before="0" w:after="283"/>
              <w:jc w:val="right"/>
              <w:rPr/>
            </w:pPr>
            <w:r>
              <w:rPr/>
              <w:t>3,75 - 4,00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4.00</w:t>
            </w:r>
          </w:p>
        </w:tc>
        <w:tc>
          <w:tcPr>
            <w:tcW w:w="283"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0.00</w:t>
            </w:r>
          </w:p>
        </w:tc>
        <w:tc>
          <w:tcPr>
            <w:tcW w:w="2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0.00</w:t>
            </w:r>
          </w:p>
        </w:tc>
        <w:tc>
          <w:tcPr>
            <w:tcW w:w="283"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2,63% - 2,64%</w:t>
            </w:r>
          </w:p>
        </w:tc>
        <w:tc>
          <w:tcPr>
            <w:tcW w:w="2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2,21%</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0" w:type="dxa"/>
            <w:tcBorders/>
            <w:shd w:fill="CCEEFF" w:val="clear"/>
            <w:vAlign w:val="bottom"/>
          </w:tcPr>
          <w:p>
            <w:pPr>
              <w:pStyle w:val="TableContents"/>
              <w:bidi w:val="0"/>
              <w:spacing w:before="0" w:after="283"/>
              <w:jc w:val="right"/>
              <w:rPr/>
            </w:pPr>
            <w:r>
              <w:rPr/>
              <w:t>2,35% - 2,64%</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2,11% - 2,21%</w:t>
            </w:r>
          </w:p>
        </w:tc>
        <w:tc>
          <w:tcPr>
            <w:tcW w:w="283" w:type="dxa"/>
            <w:tcBorders/>
            <w:shd w:fill="CCEEFF" w:val="clear"/>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017"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9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Expected volatility has been based on an evaluation of the historical volatility of peer companies, particularly over the historical period commensurate with the expected term. The expected term of the instruments has been based on the expected transaction date and general option holder behavior. In addition, following the reporting date, the share price was reassessed based on the business combination agreement and the PIPE financing agreements, as these subsequent transactions provided a new contemporaneous reference point for the Company’s equity value. Based on the observable transaction pricing resulting from these subsequent events, an updated share price was derived.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92"/>
        <w:gridCol w:w="300"/>
        <w:gridCol w:w="91"/>
        <w:gridCol w:w="885"/>
        <w:gridCol w:w="91"/>
        <w:gridCol w:w="247"/>
        <w:gridCol w:w="91"/>
        <w:gridCol w:w="889"/>
        <w:gridCol w:w="150"/>
        <w:gridCol w:w="303"/>
        <w:gridCol w:w="80"/>
        <w:gridCol w:w="754"/>
        <w:gridCol w:w="79"/>
        <w:gridCol w:w="332"/>
        <w:gridCol w:w="80"/>
        <w:gridCol w:w="757"/>
        <w:gridCol w:w="67"/>
      </w:tblGrid>
      <w:tr>
        <w:trPr/>
        <w:tc>
          <w:tcPr>
            <w:tcW w:w="4192"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9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2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2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00"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 arising from equity-settled share-based payment transactions</w:t>
            </w:r>
          </w:p>
        </w:tc>
        <w:tc>
          <w:tcPr>
            <w:tcW w:w="30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5,495</w:t>
            </w:r>
          </w:p>
        </w:tc>
        <w:tc>
          <w:tcPr>
            <w:tcW w:w="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1,318</w:t>
            </w:r>
          </w:p>
        </w:tc>
        <w:tc>
          <w:tcPr>
            <w:tcW w:w="150" w:type="dxa"/>
            <w:tcBorders/>
            <w:shd w:fill="CCEEFF" w:val="clear"/>
            <w:vAlign w:val="bottom"/>
          </w:tcPr>
          <w:p>
            <w:pPr>
              <w:pStyle w:val="TableContents"/>
              <w:bidi w:val="0"/>
              <w:spacing w:before="0" w:after="283"/>
              <w:jc w:val="left"/>
              <w:rPr/>
            </w:pPr>
            <w:r>
              <w:rPr/>
              <w:t> </w:t>
            </w:r>
          </w:p>
        </w:tc>
        <w:tc>
          <w:tcPr>
            <w:tcW w:w="3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8,827</w:t>
            </w:r>
          </w:p>
        </w:tc>
        <w:tc>
          <w:tcPr>
            <w:tcW w:w="7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2,334</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5,495</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1,318</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b/>
              </w:rPr>
            </w:pPr>
            <w:r>
              <w:rPr>
                <w:b/>
              </w:rPr>
              <w:t>8,827</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b/>
              </w:rPr>
            </w:pPr>
            <w:r>
              <w:rPr>
                <w:b/>
              </w:rPr>
              <w:t>2,334</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4192"/>
        <w:gridCol w:w="300"/>
        <w:gridCol w:w="91"/>
        <w:gridCol w:w="885"/>
        <w:gridCol w:w="91"/>
        <w:gridCol w:w="247"/>
        <w:gridCol w:w="91"/>
        <w:gridCol w:w="889"/>
        <w:gridCol w:w="150"/>
        <w:gridCol w:w="303"/>
        <w:gridCol w:w="80"/>
        <w:gridCol w:w="754"/>
        <w:gridCol w:w="79"/>
        <w:gridCol w:w="332"/>
        <w:gridCol w:w="80"/>
        <w:gridCol w:w="757"/>
        <w:gridCol w:w="67"/>
      </w:tblGrid>
      <w:tr>
        <w:trPr/>
        <w:tc>
          <w:tcPr>
            <w:tcW w:w="4192"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9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2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2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00"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0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47</w:t>
            </w:r>
          </w:p>
        </w:tc>
        <w:tc>
          <w:tcPr>
            <w:tcW w:w="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3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71</w:t>
            </w:r>
          </w:p>
        </w:tc>
        <w:tc>
          <w:tcPr>
            <w:tcW w:w="7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447</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167</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680</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273</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0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2,355</w:t>
            </w:r>
          </w:p>
        </w:tc>
        <w:tc>
          <w:tcPr>
            <w:tcW w:w="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272</w:t>
            </w:r>
          </w:p>
        </w:tc>
        <w:tc>
          <w:tcPr>
            <w:tcW w:w="150" w:type="dxa"/>
            <w:tcBorders/>
            <w:shd w:fill="CCEEFF" w:val="clear"/>
            <w:vAlign w:val="bottom"/>
          </w:tcPr>
          <w:p>
            <w:pPr>
              <w:pStyle w:val="TableContents"/>
              <w:bidi w:val="0"/>
              <w:spacing w:before="0" w:after="283"/>
              <w:jc w:val="left"/>
              <w:rPr/>
            </w:pPr>
            <w:r>
              <w:rPr/>
              <w:t> </w:t>
            </w:r>
          </w:p>
        </w:tc>
        <w:tc>
          <w:tcPr>
            <w:tcW w:w="3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4,174</w:t>
            </w:r>
          </w:p>
        </w:tc>
        <w:tc>
          <w:tcPr>
            <w:tcW w:w="7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398</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2,646</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879</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3,902</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1,663</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5,495</w:t>
            </w:r>
          </w:p>
        </w:tc>
        <w:tc>
          <w:tcPr>
            <w:tcW w:w="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1,318</w:t>
            </w:r>
          </w:p>
        </w:tc>
        <w:tc>
          <w:tcPr>
            <w:tcW w:w="150" w:type="dxa"/>
            <w:tcBorders/>
            <w:shd w:fill="CCEEFF" w:val="clear"/>
            <w:vAlign w:val="bottom"/>
          </w:tcPr>
          <w:p>
            <w:pPr>
              <w:pStyle w:val="TableContents"/>
              <w:bidi w:val="0"/>
              <w:spacing w:before="0" w:after="283"/>
              <w:jc w:val="left"/>
              <w:rPr/>
            </w:pPr>
            <w:r>
              <w:rPr/>
              <w:t> </w:t>
            </w:r>
          </w:p>
        </w:tc>
        <w:tc>
          <w:tcPr>
            <w:tcW w:w="3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8,827</w:t>
            </w:r>
          </w:p>
        </w:tc>
        <w:tc>
          <w:tcPr>
            <w:tcW w:w="7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2,334</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current liabilities </w:t>
      </w:r>
    </w:p>
    <w:p>
      <w:pPr>
        <w:pStyle w:val="TextBody"/>
        <w:bidi w:val="0"/>
        <w:spacing w:before="120" w:after="0"/>
        <w:jc w:val="left"/>
        <w:rPr>
          <w:rFonts w:ascii="Times New Roman" w:hAnsi="Times New Roman"/>
          <w:sz w:val="20"/>
        </w:rPr>
      </w:pPr>
      <w:r>
        <w:rPr>
          <w:rFonts w:ascii="Times New Roman" w:hAnsi="Times New Roman"/>
          <w:sz w:val="20"/>
        </w:rPr>
        <w:t>As of December 31, 2025, other current liabilities amounted to EUR 5,124 thousand. During the reporting period, they increased by EUR 7,021 thousand to EUR 12,145 thousand as of June 30, 2026. The increase is primarily driven by higher accrued expenses in the amount of EUR 6,095 thousand. This increase is mainly attributable to transaction-related costs, including legal, advisory, and tax consulting fees. These balances are short-term in nature and relate to services received but not yet invoiced or settled as of the reporting date.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Equity includes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63"/>
        <w:gridCol w:w="311"/>
        <w:gridCol w:w="62"/>
        <w:gridCol w:w="1458"/>
        <w:gridCol w:w="155"/>
        <w:gridCol w:w="311"/>
        <w:gridCol w:w="86"/>
        <w:gridCol w:w="2050"/>
        <w:gridCol w:w="159"/>
      </w:tblGrid>
      <w:tr>
        <w:trPr/>
        <w:tc>
          <w:tcPr>
            <w:tcW w:w="316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6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w:t>
            </w:r>
          </w:p>
        </w:tc>
        <w:tc>
          <w:tcPr>
            <w:tcW w:w="31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1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80,000</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50" w:type="dxa"/>
            <w:tcBorders/>
            <w:shd w:fill="CCEEFF" w:val="clear"/>
            <w:vAlign w:val="bottom"/>
          </w:tcPr>
          <w:p>
            <w:pPr>
              <w:pStyle w:val="TableContents"/>
              <w:bidi w:val="0"/>
              <w:spacing w:before="0" w:after="283"/>
              <w:jc w:val="right"/>
              <w:rPr/>
            </w:pPr>
            <w:r>
              <w:rPr/>
              <w:t>2,500</w:t>
            </w:r>
          </w:p>
        </w:tc>
        <w:tc>
          <w:tcPr>
            <w:tcW w:w="159"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1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489,521,908</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50" w:type="dxa"/>
            <w:tcBorders/>
            <w:vAlign w:val="bottom"/>
          </w:tcPr>
          <w:p>
            <w:pPr>
              <w:pStyle w:val="TableContents"/>
              <w:bidi w:val="0"/>
              <w:spacing w:before="0" w:after="283"/>
              <w:jc w:val="right"/>
              <w:rPr/>
            </w:pPr>
            <w:r>
              <w:rPr/>
              <w:t>438,156,913</w:t>
            </w:r>
          </w:p>
        </w:tc>
        <w:tc>
          <w:tcPr>
            <w:tcW w:w="159"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1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(307,140,621</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50" w:type="dxa"/>
            <w:tcBorders/>
            <w:shd w:fill="CCEEFF" w:val="clear"/>
            <w:vAlign w:val="bottom"/>
          </w:tcPr>
          <w:p>
            <w:pPr>
              <w:pStyle w:val="TableContents"/>
              <w:bidi w:val="0"/>
              <w:spacing w:before="0" w:after="283"/>
              <w:jc w:val="right"/>
              <w:rPr/>
            </w:pPr>
            <w:r>
              <w:rPr/>
              <w:t>(232,243,376</w:t>
            </w:r>
          </w:p>
        </w:tc>
        <w:tc>
          <w:tcPr>
            <w:tcW w:w="159"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1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(38,907</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50" w:type="dxa"/>
            <w:tcBorders/>
            <w:vAlign w:val="bottom"/>
          </w:tcPr>
          <w:p>
            <w:pPr>
              <w:pStyle w:val="TableContents"/>
              <w:bidi w:val="0"/>
              <w:spacing w:before="0" w:after="283"/>
              <w:jc w:val="right"/>
              <w:rPr/>
            </w:pPr>
            <w:r>
              <w:rPr/>
              <w:t>(15,871</w:t>
            </w:r>
          </w:p>
        </w:tc>
        <w:tc>
          <w:tcPr>
            <w:tcW w:w="159"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4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205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b/>
              </w:rPr>
            </w:pPr>
            <w:r>
              <w:rPr>
                <w:b/>
              </w:rPr>
              <w:t>182,422,380</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50" w:type="dxa"/>
            <w:tcBorders/>
            <w:shd w:fill="CCEEFF" w:val="clear"/>
            <w:vAlign w:val="bottom"/>
          </w:tcPr>
          <w:p>
            <w:pPr>
              <w:pStyle w:val="TableContents"/>
              <w:bidi w:val="0"/>
              <w:spacing w:before="0" w:after="283"/>
              <w:jc w:val="right"/>
              <w:rPr>
                <w:b/>
              </w:rPr>
            </w:pPr>
            <w:r>
              <w:rPr>
                <w:b/>
              </w:rPr>
              <w:t>205,900,166</w:t>
            </w:r>
          </w:p>
        </w:tc>
        <w:tc>
          <w:tcPr>
            <w:tcW w:w="159" w:type="dxa"/>
            <w:tcBorders/>
            <w:shd w:fill="CCEEFF" w:val="clear"/>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4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205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 capital </w:t>
      </w:r>
    </w:p>
    <w:p>
      <w:pPr>
        <w:pStyle w:val="TextBody"/>
        <w:bidi w:val="0"/>
        <w:spacing w:before="120" w:after="0"/>
        <w:jc w:val="left"/>
        <w:rPr>
          <w:rFonts w:ascii="Times New Roman" w:hAnsi="Times New Roman"/>
          <w:sz w:val="20"/>
        </w:rPr>
      </w:pPr>
      <w:r>
        <w:rPr>
          <w:rFonts w:ascii="Times New Roman" w:hAnsi="Times New Roman"/>
          <w:sz w:val="20"/>
        </w:rPr>
        <w:t xml:space="preserve">As at June 30, 2026, the registered share capital of IQM amounted to EUR 80,000 (December 31, 2025: EUR 2,500). The IQM shares do not have a nominal value. During the six months ended June 30, 2026, an amount of EUR 77,500 was transferred from the capital reserve to share capital. The transfer was effected as an increase in share capital from the Company’s funds and did not result in the issuance of new shares or a change in the total number of shares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reserves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capital reserve amounted to EUR 438,157 thousand. During the reporting period, capital reserve increased by EUR 51,365 thousand to EUR 489,522 thousand as of June 30, 2026 primarily related to three transactions. </w:t>
      </w:r>
    </w:p>
    <w:p>
      <w:pPr>
        <w:pStyle w:val="TextBody"/>
        <w:bidi w:val="0"/>
        <w:spacing w:before="240" w:after="0"/>
        <w:jc w:val="left"/>
        <w:rPr>
          <w:rFonts w:ascii="Times New Roman" w:hAnsi="Times New Roman"/>
          <w:sz w:val="20"/>
        </w:rPr>
      </w:pPr>
      <w:r>
        <w:rPr>
          <w:rFonts w:ascii="Times New Roman" w:hAnsi="Times New Roman"/>
          <w:sz w:val="20"/>
        </w:rPr>
        <w:t xml:space="preserve">First, the increase in the capital reserve during 2026 was primarily attributable to the exercise of 43,092 outstanding warrants, which were classified as equity instruments. Upon exercise, the warrants relating to Series B shares were settled through the issuance of new shares, resulting in an increase in the capital reserve. The corresponding cash consideration received was recognized within cash and cash equivalents. Aggregate subscription proceeds from these exercises amounted to EUR 20,501 thousand with an average conversion price of EUR 474,86 per share. As the warrants were classified as equity instruments, their exercise did not result in the recognition of any gain or loss in profit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Second, in June 2026, Aalto University Foundation exercised special rights granted by the Company and subscribed for 27,208 new common shares at a subscription price of EUR 289.84 per share, corresponding to an aggregate subscription price of EUR 7,886 thousand. The subscription price was settled in full by way of set-off against the subscriber’s claim under the convertible loan. Upon conversion, both the host liability of EUR 7,886 thousand and the separately recognized derivative liability relating to the conversion feature, amounting to EUR 15,144 thousand at the conversion date, were derecognized and transferred to capital reserve, resulting in a total increase in capital reserve of EUR 23,030 thousand, with no gain or loss recognized in profit or loss on the transfer itself.</w:t>
      </w:r>
    </w:p>
    <w:p>
      <w:pPr>
        <w:pStyle w:val="TextBody"/>
        <w:bidi w:val="0"/>
        <w:spacing w:before="240" w:after="0"/>
        <w:jc w:val="left"/>
        <w:rPr>
          <w:rFonts w:ascii="Times New Roman" w:hAnsi="Times New Roman"/>
          <w:sz w:val="20"/>
        </w:rPr>
      </w:pPr>
      <w:r>
        <w:rPr>
          <w:rFonts w:ascii="Times New Roman" w:hAnsi="Times New Roman"/>
          <w:sz w:val="20"/>
        </w:rPr>
        <w:t xml:space="preserve">Third, the capital reserve increased by EUR 8,623 thousand during 2026 as a result of the recognition of share-based payment expenses under the Group’s Employee Stock Ownership Plan (ESOP).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capital reserve decreased by EUR 77,500 due to the transfer to share capital. </w:t>
      </w:r>
    </w:p>
    <w:p>
      <w:pPr>
        <w:pStyle w:val="TextBody"/>
        <w:bidi w:val="0"/>
        <w:spacing w:before="240" w:after="0"/>
        <w:jc w:val="left"/>
        <w:rPr>
          <w:rFonts w:ascii="Times New Roman" w:hAnsi="Times New Roman"/>
          <w:sz w:val="20"/>
        </w:rPr>
      </w:pPr>
      <w:r>
        <w:rPr>
          <w:rFonts w:ascii="Times New Roman" w:hAnsi="Times New Roman"/>
          <w:sz w:val="20"/>
        </w:rPr>
        <w:t xml:space="preserve">During the first six months of 2025 capital reserves increased from EUR 185,590 thousand by 134,902 thousand to EUR 320,492 thousand. The increase was primarily driven by a capital increase of the parent company, which contributed EUR 155,550 thousand to capital reserves. In addition, the Group recognized share-based payment expenses of EUR 2,334 thousand under its ESOP. These increases were partially offset by transaction costs - net of tax directly attributable to the capital increase of EUR 560 thousand, which were deducted from equity, and by the purchase of treasury shares amounting to EUR 22,421 thousand, which was also deducted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divided into the following share classes: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0"/>
        <w:gridCol w:w="126"/>
        <w:gridCol w:w="74"/>
        <w:gridCol w:w="1526"/>
        <w:gridCol w:w="60"/>
        <w:gridCol w:w="126"/>
        <w:gridCol w:w="60"/>
        <w:gridCol w:w="885"/>
        <w:gridCol w:w="155"/>
        <w:gridCol w:w="77"/>
        <w:gridCol w:w="60"/>
        <w:gridCol w:w="885"/>
        <w:gridCol w:w="155"/>
        <w:gridCol w:w="77"/>
        <w:gridCol w:w="60"/>
        <w:gridCol w:w="885"/>
        <w:gridCol w:w="155"/>
        <w:gridCol w:w="77"/>
        <w:gridCol w:w="59"/>
        <w:gridCol w:w="885"/>
        <w:gridCol w:w="155"/>
        <w:gridCol w:w="77"/>
        <w:gridCol w:w="60"/>
        <w:gridCol w:w="1223"/>
        <w:gridCol w:w="163"/>
      </w:tblGrid>
      <w:tr>
        <w:trPr/>
        <w:tc>
          <w:tcPr>
            <w:tcW w:w="214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4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Number of shares</w:t>
            </w:r>
          </w:p>
        </w:tc>
        <w:tc>
          <w:tcPr>
            <w:tcW w:w="126" w:type="dxa"/>
            <w:tcBorders/>
            <w:vAlign w:val="bottom"/>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bottom"/>
          </w:tcPr>
          <w:p>
            <w:pPr>
              <w:pStyle w:val="TableContents"/>
              <w:bidi w:val="0"/>
              <w:spacing w:before="0" w:after="283"/>
              <w:jc w:val="center"/>
              <w:rPr/>
            </w:pPr>
            <w:r>
              <w:rPr/>
              <w:t>Common Shares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Seed</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Series A1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Series A2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pPr>
            <w:r>
              <w:rPr/>
              <w:t>Series B</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January 1, 2026</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301,837</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291,090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117,206</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281,937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594,231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1,586,301</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March 31, 2026</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b/>
              </w:rPr>
            </w:pPr>
            <w:r>
              <w:rPr>
                <w:b/>
              </w:rPr>
              <w:t>301,837</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291,090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117,206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281,937</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594,231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b/>
              </w:rPr>
            </w:pPr>
            <w:r>
              <w:rPr>
                <w:b/>
              </w:rPr>
              <w:t>1,586,301</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27,208</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43,092</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70,300</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preferred shares into ordinary shares</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1,327,556</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(291,090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(117,206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(281,937</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(637,323</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Split (96.44)</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158,105,759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158,105,759</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Recognition of IQM Quantum Computers Oyj treasury shares</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102,700,000</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102,700,000</w:t>
            </w:r>
          </w:p>
        </w:tc>
        <w:tc>
          <w:tcPr>
            <w:tcW w:w="163"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June 30, 2026</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262,462,360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262,462,360</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rHeight w:val="240" w:hRule="atLeast"/>
        </w:trPr>
        <w:tc>
          <w:tcPr>
            <w:tcW w:w="2140" w:type="dxa"/>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176" w:type="dxa"/>
            <w:gridSpan w:val="4"/>
            <w:tcBorders/>
            <w:vAlign w:val="center"/>
          </w:tcPr>
          <w:p>
            <w:pPr>
              <w:pStyle w:val="TableContents"/>
              <w:bidi w:val="0"/>
              <w:spacing w:before="0" w:after="283"/>
              <w:jc w:val="left"/>
              <w:rPr>
                <w:sz w:val="4"/>
                <w:szCs w:val="4"/>
              </w:rPr>
            </w:pPr>
            <w:r>
              <w:rPr>
                <w:sz w:val="4"/>
                <w:szCs w:val="4"/>
              </w:rPr>
            </w:r>
          </w:p>
        </w:tc>
        <w:tc>
          <w:tcPr>
            <w:tcW w:w="1523" w:type="dxa"/>
            <w:gridSpan w:val="4"/>
            <w:tcBorders/>
            <w:vAlign w:val="center"/>
          </w:tcPr>
          <w:p>
            <w:pPr>
              <w:pStyle w:val="TableContents"/>
              <w:bidi w:val="0"/>
              <w:spacing w:before="0" w:after="283"/>
              <w:jc w:val="left"/>
              <w:rPr>
                <w:sz w:val="4"/>
                <w:szCs w:val="4"/>
              </w:rPr>
            </w:pPr>
            <w:r>
              <w:rPr>
                <w:sz w:val="4"/>
                <w:szCs w:val="4"/>
              </w:rPr>
            </w:r>
          </w:p>
        </w:tc>
      </w:tr>
      <w:tr>
        <w:trPr/>
        <w:tc>
          <w:tcPr>
            <w:tcW w:w="214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Number of shares</w:t>
            </w:r>
          </w:p>
        </w:tc>
        <w:tc>
          <w:tcPr>
            <w:tcW w:w="126" w:type="dxa"/>
            <w:tcBorders/>
            <w:vAlign w:val="bottom"/>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bottom"/>
          </w:tcPr>
          <w:p>
            <w:pPr>
              <w:pStyle w:val="TableContents"/>
              <w:bidi w:val="0"/>
              <w:spacing w:before="0" w:after="283"/>
              <w:jc w:val="center"/>
              <w:rPr/>
            </w:pPr>
            <w:r>
              <w:rPr/>
              <w:t>Common Shares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Seed</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Series A1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Series A2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pPr>
            <w:r>
              <w:rPr/>
              <w:t>Series B</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January 1, 2025</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316,949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291,090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134,457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306,271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1,048,767</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327,571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327,571</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March 31, 2025</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316,949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291,090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134,457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306,271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327,571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1,376,338</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Buybacks</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(17,251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(24,334</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(41,585</w:t>
            </w:r>
          </w:p>
        </w:tc>
        <w:tc>
          <w:tcPr>
            <w:tcW w:w="163"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June 30, 2025</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316,949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291,090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117,206</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281,937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327,571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1,334,753</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30, 2026, prior to the closing of the Business Combination, all outstanding preferred shares (Seed, Series A1, Series A2 and Series B) were converted into ordinary (Common) shares on a one-for-one basis. The Company’s Board of Directors subsequently resolved to carry out a share split, multiplying the number of outstanding shares by a factor of 96.44, in order to achieve a share price of USD 10.00 for the share issuances to be made in connection with the Combination. In addition, the Company recognized 102,700,000 treasury shares issued to itself, which do not carry dividend or voting rights until conveyed to third parties. As at June 30, 2026, the Company had a total of 262,462,360 issued shares of a single share class, of which 102,700,000 were held as treasury shares, representing 39.13% of the total number of shares and 39.13% of the total number of votes in the Company. The shares held by the Company do not carry any voting rights or other shareholder rights while held by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Retained earnings </w:t>
      </w:r>
    </w:p>
    <w:p>
      <w:pPr>
        <w:pStyle w:val="TextBody"/>
        <w:bidi w:val="0"/>
        <w:spacing w:before="120" w:after="0"/>
        <w:jc w:val="left"/>
        <w:rPr>
          <w:rFonts w:ascii="Times New Roman" w:hAnsi="Times New Roman"/>
          <w:sz w:val="20"/>
        </w:rPr>
      </w:pPr>
      <w:r>
        <w:rPr>
          <w:rFonts w:ascii="Times New Roman" w:hAnsi="Times New Roman"/>
          <w:sz w:val="20"/>
        </w:rPr>
        <w:t xml:space="preserve">Retained earnings contain earnings of the companies included in these consolidated financial statements including earnings of the current fiscal year, provided these have not been distributed. As of the end of the reporting period, the Group had retained earnings of EUR (307,141) thousand (December 31, 2025: EUR (232,243) thousand).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reserves </w:t>
      </w:r>
    </w:p>
    <w:p>
      <w:pPr>
        <w:pStyle w:val="TextBody"/>
        <w:bidi w:val="0"/>
        <w:spacing w:before="120" w:after="0"/>
        <w:jc w:val="left"/>
        <w:rPr>
          <w:rFonts w:ascii="Times New Roman" w:hAnsi="Times New Roman"/>
          <w:sz w:val="20"/>
        </w:rPr>
      </w:pPr>
      <w:r>
        <w:rPr>
          <w:rFonts w:ascii="Times New Roman" w:hAnsi="Times New Roman"/>
          <w:sz w:val="20"/>
        </w:rPr>
        <w:t xml:space="preserve">Other reserves include remeasurement adjustments from defined benefit pension obligations as well as the currency translation reserve resulting from the translation of foreign business operations into Euros.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assets and 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Note provides information about the Group’s financial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 receivables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trade receivables amounted to EUR 15,489 thousand. During the reporting period, they decreased by EUR 3,289 thousand to EUR 12,200 thousand as of June 30, 2026. Trade receivables decreased compared to the prior period primarily due to elevated invoicing levels at year-end, which resulted in higher outstanding balances as of December 31, followed by subsequent collections in the reporting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assets </w:t>
      </w:r>
    </w:p>
    <w:p>
      <w:pPr>
        <w:pStyle w:val="TextBody"/>
        <w:bidi w:val="0"/>
        <w:spacing w:before="120" w:after="0"/>
        <w:jc w:val="left"/>
        <w:rPr>
          <w:rFonts w:ascii="Times New Roman" w:hAnsi="Times New Roman"/>
          <w:sz w:val="20"/>
        </w:rPr>
      </w:pPr>
      <w:r>
        <w:rPr>
          <w:rFonts w:ascii="Times New Roman" w:hAnsi="Times New Roman"/>
          <w:sz w:val="20"/>
        </w:rPr>
        <w:t>As of June, 2026, the Company recognized derivative financial assets of EUR 4,086 thousand within current financial assets. The derivative financial assets arise from subscription agreements entered into in connection with the PIPE financing related to the Business Combination with RAAQ, under which the investors agreed to purchase newly issued shares. As the subscription agreements are denominated in U.S. dollars while the Company’s functional currency is the euro, the foreign currency component results in variability in the settlement amount from the Company’s perspective.</w:t>
      </w:r>
    </w:p>
    <w:p>
      <w:pPr>
        <w:pStyle w:val="TextBody"/>
        <w:bidi w:val="0"/>
        <w:spacing w:before="240" w:after="0"/>
        <w:jc w:val="left"/>
        <w:rPr>
          <w:rFonts w:ascii="Times New Roman" w:hAnsi="Times New Roman"/>
          <w:sz w:val="20"/>
        </w:rPr>
      </w:pPr>
      <w:r>
        <w:rPr>
          <w:rFonts w:ascii="Times New Roman" w:hAnsi="Times New Roman"/>
          <w:sz w:val="20"/>
        </w:rPr>
        <w:t xml:space="preserve">PIPE agreements, with a subscription amount of USD 134,330 thousand, were entered into on February 22, 2026. As of June 30, 2026, the exchange rate differences between the USD and EUR resulted in a fair value of EUR 3,901. At the inception date of the subscription agreements the derivative had a fair value of nil. Accordingly, the entire fair value movement recognized as of June 30, 2026, was recorded in profit or loss. The instrument is classified and measured as a derivative financial asset at FVtPL. For the three months ended June 30, 2026 a fair value gain of EUR 1,066 thousand was recognized under finance income. </w:t>
      </w:r>
    </w:p>
    <w:p>
      <w:pPr>
        <w:pStyle w:val="TextBody"/>
        <w:bidi w:val="0"/>
        <w:spacing w:before="240" w:after="0"/>
        <w:jc w:val="left"/>
        <w:rPr>
          <w:rFonts w:ascii="Times New Roman" w:hAnsi="Times New Roman"/>
          <w:sz w:val="20"/>
        </w:rPr>
      </w:pPr>
      <w:r>
        <w:rPr>
          <w:rFonts w:ascii="Times New Roman" w:hAnsi="Times New Roman"/>
          <w:sz w:val="20"/>
        </w:rPr>
        <w:t xml:space="preserve">Additional PIPE agreements with total subscription amounts of USD 12,000 thousand and USD 150 thousand were entered into on May 22, 2026, and June 11, 2026, respectively. As of June 30, 2026, the fair values of the derivative financial assets arising from these PIPE agreements amounted to EUR 183 thousand and EUR 2 thousand. The entire fair value gain was recognized within finance income in the consolidated statement of profit or loss for the three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total derivative financial asset amounted to EUR 4,086 thousand corresponding to the gain recognized within finance income for the period. For the three months ended June 30, 2026, the fair value gain amounted to EUR 1,251 thousand.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the Group holds investments in a short-term investment fund amounting to EUR 879 thousand (December 31, 2025: EUR 876 thousand). The fund is classified as a financial asset at FVtPL. Changes in the fair value in the amount of EUR 4 thousand are booked as fair value gains on financial assets within the finance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non-current financial assets mainly comprising long-term deposits amounted to EUR 910 thousand. During the reporting period, they increased by EUR 372 thousand to EUR 1,281 thousand as of June 30, 2026. The increase was primarily driven by the signing of a new lease contract for the headquarters.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liabilities </w:t>
      </w:r>
    </w:p>
    <w:p>
      <w:pPr>
        <w:pStyle w:val="TextBody"/>
        <w:bidi w:val="0"/>
        <w:spacing w:before="120" w:after="0"/>
        <w:jc w:val="left"/>
        <w:rPr>
          <w:rFonts w:ascii="Times New Roman" w:hAnsi="Times New Roman"/>
          <w:sz w:val="20"/>
        </w:rPr>
      </w:pPr>
      <w:r>
        <w:rPr>
          <w:rFonts w:ascii="Times New Roman" w:hAnsi="Times New Roman"/>
          <w:sz w:val="20"/>
        </w:rPr>
        <w:t xml:space="preserve">Financial liabilities classified as loans and borrowings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70"/>
        <w:gridCol w:w="527"/>
        <w:gridCol w:w="114"/>
        <w:gridCol w:w="1301"/>
        <w:gridCol w:w="60"/>
        <w:gridCol w:w="527"/>
        <w:gridCol w:w="158"/>
        <w:gridCol w:w="1835"/>
        <w:gridCol w:w="63"/>
      </w:tblGrid>
      <w:tr>
        <w:trPr/>
        <w:tc>
          <w:tcPr>
            <w:tcW w:w="317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financial institutions</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8,388</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3,115</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liability</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pPr>
            <w:r>
              <w:rPr/>
              <w:t>6,122</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derivative financial liability</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6,581</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1,445</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pPr>
            <w:r>
              <w:rPr/>
              <w:t>7,063</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b/>
              </w:rPr>
            </w:pPr>
            <w:r>
              <w:rPr>
                <w:b/>
              </w:rPr>
              <w:t>14,970</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b/>
              </w:rPr>
            </w:pPr>
            <w:r>
              <w:rPr>
                <w:b/>
              </w:rPr>
              <w:t>17,746</w:t>
            </w:r>
          </w:p>
        </w:tc>
        <w:tc>
          <w:tcPr>
            <w:tcW w:w="63"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current</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i/>
              </w:rPr>
            </w:pPr>
            <w:r>
              <w:rPr>
                <w:i/>
              </w:rPr>
              <w:t>12,810</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i/>
              </w:rPr>
            </w:pPr>
            <w:r>
              <w:rPr>
                <w:i/>
              </w:rPr>
              <w:t>8,525</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non-current</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i/>
              </w:rPr>
            </w:pPr>
            <w:r>
              <w:rPr>
                <w:i/>
              </w:rPr>
              <w:t>2,160</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i/>
              </w:rPr>
            </w:pPr>
            <w:r>
              <w:rPr>
                <w:i/>
              </w:rPr>
              <w:t>9,222</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detailed information regarding the carrying amounts and fair values of financial instruments, refer to Note 8. </w:t>
      </w:r>
    </w:p>
    <w:p>
      <w:pPr>
        <w:pStyle w:val="TextBody"/>
        <w:bidi w:val="0"/>
        <w:spacing w:before="240" w:after="0"/>
        <w:jc w:val="left"/>
        <w:rPr>
          <w:rFonts w:ascii="Times New Roman" w:hAnsi="Times New Roman"/>
          <w:sz w:val="20"/>
        </w:rPr>
      </w:pPr>
      <w:r>
        <w:rPr>
          <w:rFonts w:ascii="Times New Roman" w:hAnsi="Times New Roman"/>
          <w:sz w:val="20"/>
        </w:rPr>
        <w:t xml:space="preserve">Current financial liabilities comprise the portion of the government loan of the ministry of finance due within the next twelve months as well as the Kreos loan amount that will be repaid on July 31, 2026.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loans </w:t>
      </w:r>
    </w:p>
    <w:p>
      <w:pPr>
        <w:pStyle w:val="TextBody"/>
        <w:bidi w:val="0"/>
        <w:spacing w:before="120" w:after="0"/>
        <w:jc w:val="left"/>
        <w:rPr>
          <w:rFonts w:ascii="Times New Roman" w:hAnsi="Times New Roman"/>
          <w:sz w:val="20"/>
        </w:rPr>
      </w:pPr>
      <w:r>
        <w:rPr>
          <w:rFonts w:ascii="Times New Roman" w:hAnsi="Times New Roman"/>
          <w:sz w:val="20"/>
        </w:rPr>
        <w:t xml:space="preserve">On June 18, 2026, in connection with an Exit Event, Aalto University Foundation SR exercised its contractual right to convert the full outstanding principal of its two convertible loan agreements with the Company into ordinary shares. The shares were registered with the Finnish Trade Register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Aalto Loans were entered into on September 9, 2021, with principal amounts of EUR 3,823 thousand and EUR 4,062 thousand. The Aalto Loans bear no interest and were repayable on the earlier of an Exit Event or the tenth anniversary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At inception, the Aalto Loans were classified as compound financial instruments comprising a host financial liability measured at amortized cost and a bifurcated derivative financial liability representing the conversion feature, measured at fair value through profit or loss and classified within Level 3 of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As the conversion right was exercised ahead of the contractual maturity date, the derivative financial liability was remeasured to fair value immediately prior to conversion, using the actual conversion rate applied. This remeasurement resulted in a fair value of EUR 15,144 thousand immediately prior to conversion (December 31, 2025: EUR 6,122 thousand). The resulting change in fair value in the amount of EUR 9,022 was recognized as finance cost in profit or loss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was accounted for as an extinguishment of a compound financial instrument. Consistent with this treatment, the equity instruments issued were recognized at an amount equal to the aggregate carrying amount of the liabilities extinguished comprising the host financial liability and the remeasured derivative financial liability with no additional gain or loss recognized in profit or loss on the extinguishment itself. The carrying amounts of the financial liabilities were transferred directly in capital reserve.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conversion, the host financial liability of EUR 7,886 thousand and the remeasured derivative financial liability of EUR 15,144 thousand (in total, EUR 23,030 thousand) were derecognized. The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of EUR 7,886 thousand was converted, at the fixed contractual conversion price of EUR 289.84 per share, into 27,208 newly issued common ordinary shares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Kreos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18, 2026, the Group issued a prepayment notice to Kreos, notifying the lender that the outstanding principal amount EUR 5,000 thousand of Loan Amount 1, together with all accrued and unpaid interest, the applicable prepayment fee, the unpaid End of Loan Payment and all other amounts outstanding under the Loan Agreement, was repaid in full on July 31, 2026. The total repayment amount under the early repayment option, including the related prepayment fee amounted to EUR 5,774 thousand. The total amount consists of EUR 4,810 thousand principal repayment, EUR 883 thousand interest and EUR 81 thousand additional fees.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carrying amount of the Kreos loan liability was EUR 4,784 thousand, including unamortized transaction costs of EUR 271 thousand recognized as part of the carrying amount under the effective interest method. The estimated cash flows were discounted to June 18, 2026, resulting in a present value of EUR 5,662 thousand. The difference of EUR 877 thousand between this amount and the carrying amount of the loan derecognized on that date was recognized within finance expenses for the current reporting period. As of June 30, 2026, the carrying amount of the loan was EUR 5,687 thousand. </w:t>
      </w:r>
    </w:p>
    <w:p>
      <w:pPr>
        <w:pStyle w:val="TextBody"/>
        <w:bidi w:val="0"/>
        <w:spacing w:before="240" w:after="0"/>
        <w:jc w:val="left"/>
        <w:rPr>
          <w:rFonts w:ascii="Times New Roman" w:hAnsi="Times New Roman"/>
          <w:sz w:val="20"/>
        </w:rPr>
      </w:pPr>
      <w:r>
        <w:rPr>
          <w:rFonts w:ascii="Times New Roman" w:hAnsi="Times New Roman"/>
          <w:sz w:val="20"/>
        </w:rPr>
        <w:t>Following the prepayment, the total loan facility will be cancelled in full. The prepayment constitutes full and final settlement of all payment obligations under the Loan Agreement and the related Loan Documents, with the exception of the Warrant Agreement, which was excluded from the repayment.</w:t>
      </w:r>
    </w:p>
    <w:p>
      <w:pPr>
        <w:pStyle w:val="TextBody"/>
        <w:bidi w:val="0"/>
        <w:spacing w:before="360" w:after="0"/>
        <w:jc w:val="left"/>
        <w:rPr>
          <w:rFonts w:ascii="Times New Roman" w:hAnsi="Times New Roman"/>
          <w:b/>
          <w:i/>
          <w:sz w:val="20"/>
        </w:rPr>
      </w:pPr>
      <w:r>
        <w:rPr>
          <w:rFonts w:ascii="Times New Roman" w:hAnsi="Times New Roman"/>
          <w:b/>
          <w:i/>
          <w:sz w:val="20"/>
        </w:rPr>
        <w:t xml:space="preserve">Kreos Warrant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6, 2026, Kreos Capital VII Aggregator SCSp (“Kreos”) exercised in full the warrants granted under the Warrant Agreement dated December 23, 2025, entitling Kreos to subscribe for up to 1,015,511 shares of the Company. Kreos settled the exercise on a cashless basis, receiving a reduced number of shares in lieu of a cash payment of the subscription price. Based on a fair market value of EUR 11.41 per share and a subscription price of EUR 4.93 per share, Kreos was allotted 577,237 shares against an aggregate subscription price of EUR 5,772.37. As the aggregate warrant value of EUR 6,581 thousand exceeded the EUR 5,000 thousand minimum threshold under the Warrant Agreement, no cash shortfall payment was due from the Company to Kreos. The Board of Directors approved and recorded the exercise on July 9, 2026. No warrants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exercise occurred between the reporting date and the date on which these financial statements are authorized for issue. As of June 30, 2026, the warrants were exercisable and significantly in the money, and Kreos had the contractual right to exercise them at any time; the exercise six days later did not create this condition but provided additional evidence of the appropriate remaining-term assumption as of June 30, 2026. The fair value of the warrants as of June 30, 2026 amounted to EUR 6,581 thousand (December 31, 2025: EUR 1,445 thousand).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Danske Loan </w:t>
      </w:r>
    </w:p>
    <w:p>
      <w:pPr>
        <w:pStyle w:val="TextBody"/>
        <w:bidi w:val="0"/>
        <w:spacing w:before="120" w:after="0"/>
        <w:jc w:val="left"/>
        <w:rPr>
          <w:rFonts w:ascii="Times New Roman" w:hAnsi="Times New Roman"/>
          <w:sz w:val="20"/>
        </w:rPr>
      </w:pPr>
      <w:r>
        <w:rPr>
          <w:rFonts w:ascii="Times New Roman" w:hAnsi="Times New Roman"/>
          <w:sz w:val="20"/>
        </w:rPr>
        <w:t xml:space="preserve">The loan agreement entered into between IQM and Danske Bank A/S on June 28, 2021, with an initial principal amount of EUR 4,000 thousand, was fully repaid upon its contractual maturity on June 27, 2026. Consequently, as of June 30, 2026, the Group had no outstanding borrowings or other liabilities related to this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Loan from the State Treasury </w:t>
      </w:r>
    </w:p>
    <w:p>
      <w:pPr>
        <w:pStyle w:val="TextBody"/>
        <w:bidi w:val="0"/>
        <w:spacing w:before="120" w:after="0"/>
        <w:jc w:val="left"/>
        <w:rPr>
          <w:rFonts w:ascii="Times New Roman" w:hAnsi="Times New Roman"/>
          <w:sz w:val="20"/>
        </w:rPr>
      </w:pPr>
      <w:r>
        <w:rPr>
          <w:rFonts w:ascii="Times New Roman" w:hAnsi="Times New Roman"/>
          <w:sz w:val="20"/>
        </w:rPr>
        <w:t xml:space="preserve">On September 20, 2020, IQM entered into a loan agreement with the Finnish State Treasury for an initial amount of EUR 2,700 thousand. The loan bears a fixed interest rate of 1.0% p.a. The loan period is 10 years, with annual repayments of EUR 540 thousand commencing on September 20,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financial instruments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Group’s primary objective when managing capital is to ensure sufficient liquidity to support its operations and execute its growth strategy while maintaining its ability to continue as a going concern. Capital is managed with a strong focus on liquidity management and funding flexibility, taking into account the Group’s cash position, forecasted cash outflows and access to equity and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of IQM reviews the total amount of cash of the Group on a regular basis. As part of this review, the management considers the total cash, the cash outflow, and refinancing activities (via issue of equity or debt). To ensure the Group’s liquidity and the value of its equity to be able optimally set up in case that future opportunities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Carrying amounts and fair values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discloses information of financial assets and financial instruments within the scope of IFRS 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7"/>
        <w:gridCol w:w="229"/>
        <w:gridCol w:w="142"/>
        <w:gridCol w:w="1647"/>
        <w:gridCol w:w="60"/>
        <w:gridCol w:w="229"/>
        <w:gridCol w:w="67"/>
        <w:gridCol w:w="904"/>
        <w:gridCol w:w="60"/>
        <w:gridCol w:w="229"/>
        <w:gridCol w:w="76"/>
        <w:gridCol w:w="1048"/>
        <w:gridCol w:w="60"/>
        <w:gridCol w:w="229"/>
        <w:gridCol w:w="102"/>
        <w:gridCol w:w="954"/>
        <w:gridCol w:w="59"/>
        <w:gridCol w:w="229"/>
        <w:gridCol w:w="316"/>
        <w:gridCol w:w="760"/>
        <w:gridCol w:w="68"/>
      </w:tblGrid>
      <w:tr>
        <w:trPr/>
        <w:tc>
          <w:tcPr>
            <w:tcW w:w="2737"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June 30, 2026</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737" w:type="dxa"/>
            <w:tcBorders/>
            <w:vAlign w:val="center"/>
          </w:tcPr>
          <w:p>
            <w:pPr>
              <w:pStyle w:val="TableContents"/>
              <w:bidi w:val="0"/>
              <w:spacing w:before="0" w:after="283"/>
              <w:jc w:val="left"/>
              <w:rPr>
                <w:sz w:val="4"/>
                <w:szCs w:val="4"/>
              </w:rPr>
            </w:pPr>
            <w:r>
              <w:rPr>
                <w:sz w:val="4"/>
                <w:szCs w:val="4"/>
              </w:rPr>
            </w:r>
          </w:p>
        </w:tc>
        <w:tc>
          <w:tcPr>
            <w:tcW w:w="2078"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413" w:type="dxa"/>
            <w:gridSpan w:val="4"/>
            <w:tcBorders/>
            <w:vAlign w:val="center"/>
          </w:tcPr>
          <w:p>
            <w:pPr>
              <w:pStyle w:val="TableContents"/>
              <w:bidi w:val="0"/>
              <w:spacing w:before="0" w:after="283"/>
              <w:jc w:val="left"/>
              <w:rPr>
                <w:sz w:val="4"/>
                <w:szCs w:val="4"/>
              </w:rPr>
            </w:pPr>
            <w:r>
              <w:rPr>
                <w:sz w:val="4"/>
                <w:szCs w:val="4"/>
              </w:rPr>
            </w:r>
          </w:p>
        </w:tc>
        <w:tc>
          <w:tcPr>
            <w:tcW w:w="1344" w:type="dxa"/>
            <w:gridSpan w:val="4"/>
            <w:tcBorders/>
            <w:vAlign w:val="center"/>
          </w:tcPr>
          <w:p>
            <w:pPr>
              <w:pStyle w:val="TableContents"/>
              <w:bidi w:val="0"/>
              <w:spacing w:before="0" w:after="283"/>
              <w:jc w:val="left"/>
              <w:rPr>
                <w:sz w:val="4"/>
                <w:szCs w:val="4"/>
              </w:rPr>
            </w:pPr>
            <w:r>
              <w:rPr>
                <w:sz w:val="4"/>
                <w:szCs w:val="4"/>
              </w:rPr>
            </w:r>
          </w:p>
        </w:tc>
        <w:tc>
          <w:tcPr>
            <w:tcW w:w="1373" w:type="dxa"/>
            <w:gridSpan w:val="4"/>
            <w:tcBorders/>
            <w:vAlign w:val="center"/>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29" w:type="dxa"/>
            <w:tcBorders/>
            <w:vAlign w:val="bottom"/>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68"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b/>
                <w:u w:val="single"/>
              </w:rPr>
            </w:pPr>
            <w:r>
              <w:rPr>
                <w:b/>
                <w:u w:val="single"/>
              </w:rPr>
              <w:t>Assets</w:t>
            </w:r>
          </w:p>
        </w:tc>
        <w:tc>
          <w:tcPr>
            <w:tcW w:w="229" w:type="dxa"/>
            <w:tcBorders/>
            <w:vAlign w:val="bottom"/>
          </w:tcPr>
          <w:p>
            <w:pPr>
              <w:pStyle w:val="TableContents"/>
              <w:bidi w:val="0"/>
              <w:spacing w:before="0" w:after="283"/>
              <w:jc w:val="left"/>
              <w:rPr/>
            </w:pPr>
            <w:r>
              <w:rPr/>
              <w:t>  </w:t>
            </w:r>
          </w:p>
        </w:tc>
        <w:tc>
          <w:tcPr>
            <w:tcW w:w="17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1,178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1,178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1,178</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financial assets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104</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12,200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12,200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FVtPL</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879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879</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financial asset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FVtPL</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4,086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4,086</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Guarantee Deposit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480</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113,424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113,424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financial assets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12</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b/>
                <w:u w:val="single"/>
              </w:rPr>
            </w:pPr>
            <w:r>
              <w:rPr>
                <w:b/>
                <w:u w:val="single"/>
              </w:rPr>
              <w:t>Liabilities</w:t>
            </w:r>
          </w:p>
        </w:tc>
        <w:tc>
          <w:tcPr>
            <w:tcW w:w="229" w:type="dxa"/>
            <w:tcBorders/>
            <w:vAlign w:val="bottom"/>
          </w:tcPr>
          <w:p>
            <w:pPr>
              <w:pStyle w:val="TableContents"/>
              <w:bidi w:val="0"/>
              <w:spacing w:before="0" w:after="283"/>
              <w:jc w:val="left"/>
              <w:rPr/>
            </w:pPr>
            <w:r>
              <w:rPr/>
              <w:t>  </w:t>
            </w:r>
          </w:p>
        </w:tc>
        <w:tc>
          <w:tcPr>
            <w:tcW w:w="17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2,160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2,160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1,994</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6,228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6,228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6,228</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Warrant derivative financial liability</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6,581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6,581</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737"/>
        <w:gridCol w:w="229"/>
        <w:gridCol w:w="142"/>
        <w:gridCol w:w="1647"/>
        <w:gridCol w:w="60"/>
        <w:gridCol w:w="229"/>
        <w:gridCol w:w="67"/>
        <w:gridCol w:w="904"/>
        <w:gridCol w:w="60"/>
        <w:gridCol w:w="229"/>
        <w:gridCol w:w="76"/>
        <w:gridCol w:w="1048"/>
        <w:gridCol w:w="60"/>
        <w:gridCol w:w="229"/>
        <w:gridCol w:w="102"/>
        <w:gridCol w:w="954"/>
        <w:gridCol w:w="59"/>
        <w:gridCol w:w="229"/>
        <w:gridCol w:w="316"/>
        <w:gridCol w:w="760"/>
        <w:gridCol w:w="68"/>
      </w:tblGrid>
      <w:tr>
        <w:trPr/>
        <w:tc>
          <w:tcPr>
            <w:tcW w:w="2737"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737" w:type="dxa"/>
            <w:tcBorders/>
            <w:vAlign w:val="center"/>
          </w:tcPr>
          <w:p>
            <w:pPr>
              <w:pStyle w:val="TableContents"/>
              <w:bidi w:val="0"/>
              <w:spacing w:before="0" w:after="283"/>
              <w:jc w:val="left"/>
              <w:rPr>
                <w:sz w:val="4"/>
                <w:szCs w:val="4"/>
              </w:rPr>
            </w:pPr>
            <w:r>
              <w:rPr>
                <w:sz w:val="4"/>
                <w:szCs w:val="4"/>
              </w:rPr>
            </w:r>
          </w:p>
        </w:tc>
        <w:tc>
          <w:tcPr>
            <w:tcW w:w="2078"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413" w:type="dxa"/>
            <w:gridSpan w:val="4"/>
            <w:tcBorders/>
            <w:vAlign w:val="center"/>
          </w:tcPr>
          <w:p>
            <w:pPr>
              <w:pStyle w:val="TableContents"/>
              <w:bidi w:val="0"/>
              <w:spacing w:before="0" w:after="283"/>
              <w:jc w:val="left"/>
              <w:rPr>
                <w:sz w:val="4"/>
                <w:szCs w:val="4"/>
              </w:rPr>
            </w:pPr>
            <w:r>
              <w:rPr>
                <w:sz w:val="4"/>
                <w:szCs w:val="4"/>
              </w:rPr>
            </w:r>
          </w:p>
        </w:tc>
        <w:tc>
          <w:tcPr>
            <w:tcW w:w="1344" w:type="dxa"/>
            <w:gridSpan w:val="4"/>
            <w:tcBorders/>
            <w:vAlign w:val="center"/>
          </w:tcPr>
          <w:p>
            <w:pPr>
              <w:pStyle w:val="TableContents"/>
              <w:bidi w:val="0"/>
              <w:spacing w:before="0" w:after="283"/>
              <w:jc w:val="left"/>
              <w:rPr>
                <w:sz w:val="4"/>
                <w:szCs w:val="4"/>
              </w:rPr>
            </w:pPr>
            <w:r>
              <w:rPr>
                <w:sz w:val="4"/>
                <w:szCs w:val="4"/>
              </w:rPr>
            </w:r>
          </w:p>
        </w:tc>
        <w:tc>
          <w:tcPr>
            <w:tcW w:w="1373" w:type="dxa"/>
            <w:gridSpan w:val="4"/>
            <w:tcBorders/>
            <w:vAlign w:val="center"/>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29" w:type="dxa"/>
            <w:tcBorders/>
            <w:vAlign w:val="bottom"/>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68"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b/>
                <w:u w:val="single"/>
              </w:rPr>
            </w:pPr>
            <w:r>
              <w:rPr>
                <w:b/>
                <w:u w:val="single"/>
              </w:rPr>
              <w:t>Assets</w:t>
            </w:r>
          </w:p>
        </w:tc>
        <w:tc>
          <w:tcPr>
            <w:tcW w:w="229" w:type="dxa"/>
            <w:tcBorders/>
            <w:vAlign w:val="bottom"/>
          </w:tcPr>
          <w:p>
            <w:pPr>
              <w:pStyle w:val="TableContents"/>
              <w:bidi w:val="0"/>
              <w:spacing w:before="0" w:after="283"/>
              <w:jc w:val="left"/>
              <w:rPr/>
            </w:pPr>
            <w:r>
              <w:rPr/>
              <w:t>  </w:t>
            </w:r>
          </w:p>
        </w:tc>
        <w:tc>
          <w:tcPr>
            <w:tcW w:w="17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896</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financial assets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14</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15,489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15,489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FVtPL</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876</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146,544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146,544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bidi w:val="0"/>
              <w:spacing w:before="0" w:after="283"/>
              <w:jc w:val="left"/>
              <w:rPr>
                <w:b/>
                <w:u w:val="single"/>
              </w:rPr>
            </w:pPr>
            <w:r>
              <w:rPr>
                <w:b/>
                <w:u w:val="single"/>
              </w:rPr>
              <w:t>Liabilities</w:t>
            </w:r>
          </w:p>
        </w:tc>
        <w:tc>
          <w:tcPr>
            <w:tcW w:w="229" w:type="dxa"/>
            <w:tcBorders/>
            <w:vAlign w:val="bottom"/>
          </w:tcPr>
          <w:p>
            <w:pPr>
              <w:pStyle w:val="TableContents"/>
              <w:bidi w:val="0"/>
              <w:spacing w:before="0" w:after="283"/>
              <w:jc w:val="left"/>
              <w:rPr/>
            </w:pPr>
            <w:r>
              <w:rPr/>
              <w:t>  </w:t>
            </w:r>
          </w:p>
        </w:tc>
        <w:tc>
          <w:tcPr>
            <w:tcW w:w="17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7,063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7,063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6,215</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2,158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2,158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1,975</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957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957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957</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FVtPL</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6,122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6,122</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3</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Warrant derivative financial liability</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FVtPL</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1,445</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w:t>
            </w:r>
          </w:p>
        </w:tc>
        <w:tc>
          <w:tcPr>
            <w:tcW w:w="6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the short-term nature of the Group’s financial instruments, the carrying amounts of the Group’s cash and cash equivalents, trade receivables, trade payables and current financial liabilities from credit institutions are deemed a reasonable approximation of its fair value. The fair value of long-term rental deposits approximates their carrying amount. </w:t>
      </w:r>
    </w:p>
    <w:p>
      <w:pPr>
        <w:pStyle w:val="TextBody"/>
        <w:bidi w:val="0"/>
        <w:spacing w:before="240" w:after="0"/>
        <w:jc w:val="left"/>
        <w:rPr>
          <w:rFonts w:ascii="Times New Roman" w:hAnsi="Times New Roman"/>
          <w:sz w:val="20"/>
        </w:rPr>
      </w:pPr>
      <w:r>
        <w:rPr>
          <w:rFonts w:ascii="Times New Roman" w:hAnsi="Times New Roman"/>
          <w:sz w:val="20"/>
        </w:rPr>
        <w:t xml:space="preserve">The current investment fund is classified as a financial asset at fair value through profit or loss, as it does not meet the solely payments of principal and interest (SPPI) criterion under IFRS 9. Fair value is determined based on observable inputs and the investment is categorized as Level 2 in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The derivative financial asset is measured at fair value through profit or loss and is classified within Level 2 of the fair value hierarchy. The fair value is dependent on observable foreign exchange rates between the USD and EURO, which represent market-based inputs available at the measurement date. Changes in these observable market inputs are reflected in the fair value of the derivative financial asset and are recognized in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Non-current financial liabilities are assigned to level 2 as the lowest level input that is significant to the fair value measurement is directly or indirectly observable: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 non-current financial liabilities to credit institutions and convertible loans were calculated using a discounted cashflow model based on risk-free market interest rates in the form of Finnish government bonds, and a credit risk premium derived from corporate bonds with a corresponding rating and term as IQM. The credit risk of IQM and the credit risk premium resulting therefrom is an unobservable input. </w:t>
      </w:r>
    </w:p>
    <w:p>
      <w:pPr>
        <w:pStyle w:val="TextBody"/>
        <w:bidi w:val="0"/>
        <w:spacing w:before="240" w:after="0"/>
        <w:jc w:val="left"/>
        <w:rPr>
          <w:rFonts w:ascii="Times New Roman" w:hAnsi="Times New Roman"/>
          <w:sz w:val="20"/>
        </w:rPr>
      </w:pPr>
      <w:r>
        <w:rPr>
          <w:rFonts w:ascii="Times New Roman" w:hAnsi="Times New Roman"/>
          <w:sz w:val="20"/>
        </w:rPr>
        <w:t xml:space="preserve">Short-term financial liabilities to credit institutions as at June 30, 2026 comprise the contractual principal repayments due within the next twelve months under the government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Level 3 Fair Values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values of the embedded derivatives were determined using Level 3 valuation techniques, incorporating assumptions regarding future equity values, conversion probabilities and risk-free market interest rates. Key inputs to the valuation are not observable in the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Kreos warrants are accounted for as a derivative financial liability and were measured at fair value using the Black-Scholes option pricing model. The fair value measurement is based on significant unobservable inputs, most notably the underlying share price and the expected share volatility. Given the materiality of these inputs to the overall valuation, the instrument is classified within Level 3 of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the Kreos warrant holder elected to exercise the warrants. As the exercise occurred shortly after the reporting date and provided additional evidence regarding conditions existing as at June 30, 2026, it was considered an adjusting event after the reporting period. Accordingly, the fair value measurement of the warrant liability as at June 30, 2026 was updated to reflect the final exercise value determined on July 6, 2026, rather than an estimated value derived from a valuation model. There were no indications of material changes in the fair value of the warrants between the reporting date and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The warrants remained classified within Level 3 of the fair value hierarchy as at June 30, 2026, as their fair value measurement continued to rely on significant unobservable assumptions. </w:t>
      </w:r>
    </w:p>
    <w:p>
      <w:pPr>
        <w:pStyle w:val="TextBody"/>
        <w:bidi w:val="0"/>
        <w:spacing w:before="240" w:after="0"/>
        <w:jc w:val="left"/>
        <w:rPr>
          <w:rFonts w:ascii="Times New Roman" w:hAnsi="Times New Roman"/>
          <w:sz w:val="20"/>
        </w:rPr>
      </w:pPr>
      <w:r>
        <w:rPr>
          <w:rFonts w:ascii="Times New Roman" w:hAnsi="Times New Roman"/>
          <w:sz w:val="20"/>
        </w:rPr>
        <w:t xml:space="preserve">As the derivative financial liability was settled shortly after the reporting date at a value determined by the listing and the warrant exercise, the Company decided to use the final settlement value rather than a hypothetical sensitivity analysis based on reasonably possible alternative assumptions that, in the event, did not materialize. Accordingly, no quantitative sensitivity analysis is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from the opening balance to the closing balance for recurring fair value measurements categorized within Level 3 of the fair value hierarchy.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91"/>
        <w:gridCol w:w="549"/>
        <w:gridCol w:w="161"/>
        <w:gridCol w:w="2093"/>
        <w:gridCol w:w="155"/>
        <w:gridCol w:w="549"/>
        <w:gridCol w:w="97"/>
        <w:gridCol w:w="913"/>
        <w:gridCol w:w="64"/>
      </w:tblGrid>
      <w:tr>
        <w:trPr/>
        <w:tc>
          <w:tcPr>
            <w:tcW w:w="3991"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49" w:type="dxa"/>
            <w:tcBorders/>
            <w:vAlign w:val="bottom"/>
          </w:tcPr>
          <w:p>
            <w:pPr>
              <w:pStyle w:val="TableContents"/>
              <w:bidi w:val="0"/>
              <w:spacing w:before="0" w:after="283"/>
              <w:jc w:val="left"/>
              <w:rPr/>
            </w:pPr>
            <w:r>
              <w:rPr/>
              <w:t>  </w:t>
            </w:r>
          </w:p>
        </w:tc>
        <w:tc>
          <w:tcPr>
            <w:tcW w:w="2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w:t>
              <w:br/>
              <w:t>financial liabilities</w:t>
            </w:r>
          </w:p>
        </w:tc>
        <w:tc>
          <w:tcPr>
            <w:tcW w:w="155"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4" w:type="dxa"/>
            <w:tcBorders/>
            <w:vAlign w:val="bottom"/>
          </w:tcPr>
          <w:p>
            <w:pPr>
              <w:pStyle w:val="TableContents"/>
              <w:bidi w:val="0"/>
              <w:spacing w:before="0" w:after="283"/>
              <w:jc w:val="left"/>
              <w:rPr/>
            </w:pPr>
            <w:r>
              <w:rPr/>
              <w:t> </w:t>
            </w:r>
          </w:p>
        </w:tc>
      </w:tr>
      <w:tr>
        <w:trPr/>
        <w:tc>
          <w:tcPr>
            <w:tcW w:w="39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2026</w:t>
            </w:r>
          </w:p>
        </w:tc>
        <w:tc>
          <w:tcPr>
            <w:tcW w:w="54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b/>
              </w:rPr>
            </w:pPr>
            <w:r>
              <w:rPr>
                <w:b/>
              </w:rPr>
              <w:t>6,122</w:t>
            </w:r>
          </w:p>
        </w:tc>
        <w:tc>
          <w:tcPr>
            <w:tcW w:w="155"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b/>
              </w:rPr>
            </w:pPr>
            <w:r>
              <w:rPr>
                <w:b/>
              </w:rPr>
              <w:t>1,445</w:t>
            </w:r>
          </w:p>
        </w:tc>
        <w:tc>
          <w:tcPr>
            <w:tcW w:w="64" w:type="dxa"/>
            <w:tcBorders/>
            <w:shd w:fill="CCEEFF" w:val="clear"/>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2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91" w:type="dxa"/>
            <w:tcBorders/>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0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54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9,022</w:t>
            </w:r>
          </w:p>
        </w:tc>
        <w:tc>
          <w:tcPr>
            <w:tcW w:w="155"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5,135</w:t>
            </w:r>
          </w:p>
        </w:tc>
        <w:tc>
          <w:tcPr>
            <w:tcW w:w="64" w:type="dxa"/>
            <w:tcBorders/>
            <w:shd w:fill="CCEEFF" w:val="clear"/>
            <w:vAlign w:val="bottom"/>
          </w:tcPr>
          <w:p>
            <w:pPr>
              <w:pStyle w:val="TableContents"/>
              <w:bidi w:val="0"/>
              <w:spacing w:before="0" w:after="283"/>
              <w:jc w:val="left"/>
              <w:rPr/>
            </w:pPr>
            <w:r>
              <w:rPr/>
              <w:t> </w:t>
            </w:r>
          </w:p>
        </w:tc>
      </w:tr>
      <w:tr>
        <w:trPr/>
        <w:tc>
          <w:tcPr>
            <w:tcW w:w="3991"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upon conversion into equity</w:t>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(15,144</w:t>
            </w:r>
          </w:p>
        </w:tc>
        <w:tc>
          <w:tcPr>
            <w:tcW w:w="155"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2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June 30, 2026</w:t>
            </w:r>
          </w:p>
        </w:tc>
        <w:tc>
          <w:tcPr>
            <w:tcW w:w="54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b/>
              </w:rPr>
            </w:pPr>
            <w:r>
              <w:rPr>
                <w:b/>
              </w:rPr>
              <w:t>6,581</w:t>
            </w:r>
          </w:p>
        </w:tc>
        <w:tc>
          <w:tcPr>
            <w:tcW w:w="64" w:type="dxa"/>
            <w:tcBorders/>
            <w:shd w:fill="CCEEFF" w:val="clear"/>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2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52"/>
        <w:gridCol w:w="536"/>
        <w:gridCol w:w="177"/>
        <w:gridCol w:w="2041"/>
        <w:gridCol w:w="155"/>
        <w:gridCol w:w="536"/>
        <w:gridCol w:w="97"/>
        <w:gridCol w:w="916"/>
        <w:gridCol w:w="62"/>
      </w:tblGrid>
      <w:tr>
        <w:trPr/>
        <w:tc>
          <w:tcPr>
            <w:tcW w:w="4052" w:type="dxa"/>
            <w:tcBorders/>
            <w:vAlign w:val="center"/>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05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36" w:type="dxa"/>
            <w:tcBorders/>
            <w:vAlign w:val="bottom"/>
          </w:tcPr>
          <w:p>
            <w:pPr>
              <w:pStyle w:val="TableContents"/>
              <w:bidi w:val="0"/>
              <w:spacing w:before="0" w:after="283"/>
              <w:jc w:val="left"/>
              <w:rPr/>
            </w:pPr>
            <w:r>
              <w:rPr/>
              <w:t>  </w:t>
            </w:r>
          </w:p>
        </w:tc>
        <w:tc>
          <w:tcPr>
            <w:tcW w:w="2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w:t>
              <w:br/>
              <w:t>financial liabilities</w:t>
            </w:r>
          </w:p>
        </w:tc>
        <w:tc>
          <w:tcPr>
            <w:tcW w:w="15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2" w:type="dxa"/>
            <w:tcBorders/>
            <w:vAlign w:val="bottom"/>
          </w:tcPr>
          <w:p>
            <w:pPr>
              <w:pStyle w:val="TableContents"/>
              <w:bidi w:val="0"/>
              <w:spacing w:before="0" w:after="283"/>
              <w:jc w:val="left"/>
              <w:rPr/>
            </w:pPr>
            <w:r>
              <w:rPr/>
              <w:t> </w:t>
            </w:r>
          </w:p>
        </w:tc>
      </w:tr>
      <w:tr>
        <w:trPr/>
        <w:tc>
          <w:tcPr>
            <w:tcW w:w="40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53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b/>
              </w:rPr>
            </w:pPr>
            <w:r>
              <w:rPr>
                <w:b/>
              </w:rPr>
              <w:t>14,397</w:t>
            </w:r>
          </w:p>
        </w:tc>
        <w:tc>
          <w:tcPr>
            <w:tcW w:w="155"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052"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052"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instruments issued during the reporting period</w:t>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1,445</w:t>
            </w:r>
          </w:p>
        </w:tc>
        <w:tc>
          <w:tcPr>
            <w:tcW w:w="62" w:type="dxa"/>
            <w:tcBorders/>
            <w:vAlign w:val="bottom"/>
          </w:tcPr>
          <w:p>
            <w:pPr>
              <w:pStyle w:val="TableContents"/>
              <w:bidi w:val="0"/>
              <w:spacing w:before="0" w:after="283"/>
              <w:jc w:val="left"/>
              <w:rPr/>
            </w:pPr>
            <w:r>
              <w:rPr/>
              <w:t> </w:t>
            </w:r>
          </w:p>
        </w:tc>
      </w:tr>
      <w:tr>
        <w:trPr/>
        <w:tc>
          <w:tcPr>
            <w:tcW w:w="4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53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0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052"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(1,130</w:t>
            </w:r>
          </w:p>
        </w:tc>
        <w:tc>
          <w:tcPr>
            <w:tcW w:w="15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instruments offset during the reporting period</w:t>
            </w:r>
          </w:p>
        </w:tc>
        <w:tc>
          <w:tcPr>
            <w:tcW w:w="53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pPr>
            <w:r>
              <w:rPr/>
              <w:t>(7,145</w:t>
            </w:r>
          </w:p>
        </w:tc>
        <w:tc>
          <w:tcPr>
            <w:tcW w:w="155"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052"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0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b/>
              </w:rPr>
            </w:pPr>
            <w:r>
              <w:rPr>
                <w:b/>
              </w:rPr>
              <w:t>6,122</w:t>
            </w:r>
          </w:p>
        </w:tc>
        <w:tc>
          <w:tcPr>
            <w:tcW w:w="15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1,445</w:t>
            </w:r>
          </w:p>
        </w:tc>
        <w:tc>
          <w:tcPr>
            <w:tcW w:w="62" w:type="dxa"/>
            <w:tcBorders/>
            <w:vAlign w:val="bottom"/>
          </w:tcPr>
          <w:p>
            <w:pPr>
              <w:pStyle w:val="TableContents"/>
              <w:bidi w:val="0"/>
              <w:spacing w:before="0" w:after="283"/>
              <w:jc w:val="left"/>
              <w:rPr/>
            </w:pPr>
            <w:r>
              <w:rPr/>
              <w:t> </w:t>
            </w:r>
          </w:p>
        </w:tc>
      </w:tr>
      <w:tr>
        <w:trPr/>
        <w:tc>
          <w:tcPr>
            <w:tcW w:w="4052"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conversion of the Aalto Loans on June 30, 2026, the embedded derivative liability was remeasured at fair value immediately before settlement. The embedded derivative was therefore remeasured at its incremental value using the share price of EUR 846.45, as implied by the PIPE financing reference price, as the sole significant input. No option-pricing model or additional unobservable inputs were applied at this measurement date. The resulting carrying amount of EUR 15,144 thousand was derecognized in full and transferred directly to equity, together with the carrying amount of the host liability, and recognized within capital reserve. No further gain or loss arose on derecognition.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from January 1, 2026 to the Conversion Date, a fair value loss of EUR 9,022 thousand on the derivative financial liability was recognized in finance expenses in profit or loss, reflecting the remeasurement of the conversion feature up to the date of derecognition.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Composition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IQM’s subsidiaries as of June 30, 2026, are listed below. Unless otherwise stated, their share capital is composed entirely of common shares held directly by the group, and the ownership percentage corresponds to the group’s voting rights. Each entity’s country of incorporation or registration also serves as its principal place of business.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539"/>
        <w:gridCol w:w="298"/>
        <w:gridCol w:w="2624"/>
        <w:gridCol w:w="298"/>
        <w:gridCol w:w="192"/>
        <w:gridCol w:w="1231"/>
        <w:gridCol w:w="60"/>
        <w:gridCol w:w="298"/>
        <w:gridCol w:w="266"/>
        <w:gridCol w:w="1701"/>
        <w:gridCol w:w="65"/>
      </w:tblGrid>
      <w:tr>
        <w:trPr/>
        <w:tc>
          <w:tcPr>
            <w:tcW w:w="1539"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39"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3748" w:type="dxa"/>
            <w:gridSpan w:val="6"/>
            <w:tcBorders/>
            <w:vAlign w:val="bottom"/>
          </w:tcPr>
          <w:p>
            <w:pPr>
              <w:pStyle w:val="TableContents"/>
              <w:bidi w:val="0"/>
              <w:spacing w:before="0" w:after="283"/>
              <w:jc w:val="center"/>
              <w:rPr>
                <w:b/>
              </w:rPr>
            </w:pPr>
            <w:r>
              <w:rPr>
                <w:b/>
              </w:rPr>
              <w:t>% equity interest</w:t>
            </w:r>
          </w:p>
        </w:tc>
        <w:tc>
          <w:tcPr>
            <w:tcW w:w="65" w:type="dxa"/>
            <w:tcBorders/>
            <w:vAlign w:val="bottom"/>
          </w:tcPr>
          <w:p>
            <w:pPr>
              <w:pStyle w:val="TableContents"/>
              <w:bidi w:val="0"/>
              <w:spacing w:before="0" w:after="283"/>
              <w:jc w:val="left"/>
              <w:rPr/>
            </w:pPr>
            <w:r>
              <w:rPr/>
              <w:t> </w:t>
            </w:r>
          </w:p>
        </w:tc>
      </w:tr>
      <w:tr>
        <w:trPr/>
        <w:tc>
          <w:tcPr>
            <w:tcW w:w="15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98" w:type="dxa"/>
            <w:tcBorders/>
            <w:vAlign w:val="bottom"/>
          </w:tcPr>
          <w:p>
            <w:pPr>
              <w:pStyle w:val="TableContents"/>
              <w:bidi w:val="0"/>
              <w:spacing w:before="0" w:after="283"/>
              <w:jc w:val="left"/>
              <w:rPr/>
            </w:pPr>
            <w:r>
              <w:rPr/>
              <w:t>  </w:t>
            </w:r>
          </w:p>
        </w:tc>
        <w:tc>
          <w:tcPr>
            <w:tcW w:w="2624" w:type="dxa"/>
            <w:tcBorders>
              <w:bottom w:val="single" w:sz="8" w:space="0" w:color="000000"/>
            </w:tcBorders>
            <w:tcMar>
              <w:bottom w:w="28" w:type="dxa"/>
            </w:tcMar>
            <w:vAlign w:val="bottom"/>
          </w:tcPr>
          <w:p>
            <w:pPr>
              <w:pStyle w:val="TableContents"/>
              <w:bidi w:val="0"/>
              <w:spacing w:before="0" w:after="283"/>
              <w:jc w:val="center"/>
              <w:rPr>
                <w:b/>
              </w:rPr>
            </w:pPr>
            <w:r>
              <w:rPr>
                <w:b/>
              </w:rPr>
              <w:t>Country of incorporation</w:t>
            </w:r>
          </w:p>
        </w:tc>
        <w:tc>
          <w:tcPr>
            <w:tcW w:w="298"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Germany GmbH</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Germany</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Quantum Computers S.L.</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Spain</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France SAS</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France</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Singapore PTE. LTD.</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Singapore</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US Inc.</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United States</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Polska Sp. z o.o.</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Poland</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Italy S.R.L.</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Italy</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Japan K.K.</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Japan</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US LLC</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USA</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Eclipse QC S.á.r.l.</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Luxembourg</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U.K. LTD</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United Kingdom</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pBdr>
                <w:top w:val="single" w:sz="2" w:space="1" w:color="000000"/>
              </w:pBdr>
              <w:bidi w:val="0"/>
              <w:spacing w:before="0" w:after="0"/>
              <w:jc w:val="left"/>
              <w:rPr/>
            </w:pPr>
            <w:r>
              <w:rPr/>
              <w:t> </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70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Group’s subsidiary Eclipse QC S.á.r.l. was acquired in February 2026 and the US LLC was established in February 2026. In April 2026 the subsidiary IQM U.K. LTD was established. </w:t>
      </w:r>
    </w:p>
    <w:p>
      <w:pPr>
        <w:pStyle w:val="TextBody"/>
        <w:bidi w:val="0"/>
        <w:spacing w:before="360" w:after="0"/>
        <w:jc w:val="left"/>
        <w:rPr>
          <w:rFonts w:ascii="Times New Roman" w:hAnsi="Times New Roman"/>
          <w:b/>
          <w:sz w:val="20"/>
        </w:rPr>
      </w:pPr>
      <w:r>
        <w:rPr>
          <w:rFonts w:ascii="Times New Roman" w:hAnsi="Times New Roman"/>
          <w:b/>
          <w:sz w:val="20"/>
        </w:rPr>
        <w:t xml:space="preserve">10.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All business transactions, receivables and liabilities with related parties existing at the reporting date result from ordinary business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Remuneration key management personnel </w:t>
      </w:r>
    </w:p>
    <w:p>
      <w:pPr>
        <w:pStyle w:val="TextBody"/>
        <w:bidi w:val="0"/>
        <w:spacing w:before="120" w:after="0"/>
        <w:jc w:val="left"/>
        <w:rPr>
          <w:rFonts w:ascii="Times New Roman" w:hAnsi="Times New Roman"/>
          <w:sz w:val="20"/>
        </w:rPr>
      </w:pPr>
      <w:r>
        <w:rPr>
          <w:rFonts w:ascii="Times New Roman" w:hAnsi="Times New Roman"/>
          <w:sz w:val="20"/>
        </w:rPr>
        <w:t xml:space="preserve">The remuneration of key management personnel includes short-term employee benefits and share-based payments.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46"/>
        <w:gridCol w:w="285"/>
        <w:gridCol w:w="104"/>
        <w:gridCol w:w="984"/>
        <w:gridCol w:w="104"/>
        <w:gridCol w:w="264"/>
        <w:gridCol w:w="104"/>
        <w:gridCol w:w="684"/>
        <w:gridCol w:w="142"/>
        <w:gridCol w:w="283"/>
        <w:gridCol w:w="92"/>
        <w:gridCol w:w="889"/>
        <w:gridCol w:w="92"/>
        <w:gridCol w:w="337"/>
        <w:gridCol w:w="92"/>
        <w:gridCol w:w="620"/>
        <w:gridCol w:w="66"/>
      </w:tblGrid>
      <w:tr>
        <w:trPr/>
        <w:tc>
          <w:tcPr>
            <w:tcW w:w="4246"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44" w:type="dxa"/>
            <w:gridSpan w:val="6"/>
            <w:tcBorders/>
            <w:vAlign w:val="bottom"/>
          </w:tcPr>
          <w:p>
            <w:pPr>
              <w:pStyle w:val="TableContents"/>
              <w:bidi w:val="0"/>
              <w:spacing w:before="0" w:after="283"/>
              <w:jc w:val="center"/>
              <w:rPr>
                <w:b/>
              </w:rPr>
            </w:pPr>
            <w:r>
              <w:rPr>
                <w:b/>
              </w:rPr>
              <w:t>For the three months</w:t>
              <w:br/>
              <w:t>ended June 30,</w:t>
            </w:r>
          </w:p>
        </w:tc>
        <w:tc>
          <w:tcPr>
            <w:tcW w:w="142" w:type="dxa"/>
            <w:tcBorders/>
            <w:vAlign w:val="bottom"/>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2122" w:type="dxa"/>
            <w:gridSpan w:val="6"/>
            <w:tcBorders/>
            <w:vAlign w:val="bottom"/>
          </w:tcPr>
          <w:p>
            <w:pPr>
              <w:pStyle w:val="TableContents"/>
              <w:bidi w:val="0"/>
              <w:spacing w:before="0" w:after="283"/>
              <w:jc w:val="center"/>
              <w:rPr>
                <w:b/>
              </w:rPr>
            </w:pPr>
            <w:r>
              <w:rPr>
                <w:b/>
              </w:rPr>
              <w:t>For the six months</w:t>
              <w:br/>
              <w:t>ended June 30,</w:t>
            </w:r>
          </w:p>
        </w:tc>
        <w:tc>
          <w:tcPr>
            <w:tcW w:w="66" w:type="dxa"/>
            <w:tcBorders/>
            <w:vAlign w:val="bottom"/>
          </w:tcPr>
          <w:p>
            <w:pPr>
              <w:pStyle w:val="TableContents"/>
              <w:bidi w:val="0"/>
              <w:spacing w:before="0" w:after="283"/>
              <w:jc w:val="left"/>
              <w:rPr/>
            </w:pPr>
            <w:r>
              <w:rPr/>
              <w:t> </w:t>
            </w:r>
          </w:p>
        </w:tc>
      </w:tr>
      <w:tr>
        <w:trPr>
          <w:trHeight w:val="30" w:hRule="atLeast"/>
        </w:trPr>
        <w:tc>
          <w:tcPr>
            <w:tcW w:w="4246" w:type="dxa"/>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4"/>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85"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42" w:type="dxa"/>
            <w:tcBorders/>
            <w:vAlign w:val="bottom"/>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6"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employee benefits</w:t>
            </w:r>
          </w:p>
        </w:tc>
        <w:tc>
          <w:tcPr>
            <w:tcW w:w="28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182</w:t>
            </w:r>
          </w:p>
        </w:tc>
        <w:tc>
          <w:tcPr>
            <w:tcW w:w="10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475</w:t>
            </w:r>
          </w:p>
        </w:tc>
        <w:tc>
          <w:tcPr>
            <w:tcW w:w="142" w:type="dxa"/>
            <w:tcBorders/>
            <w:shd w:fill="CCEEFF" w:val="clear"/>
            <w:vAlign w:val="bottom"/>
          </w:tcPr>
          <w:p>
            <w:pPr>
              <w:pStyle w:val="TableContents"/>
              <w:bidi w:val="0"/>
              <w:spacing w:before="0" w:after="283"/>
              <w:jc w:val="left"/>
              <w:rPr/>
            </w:pPr>
            <w:r>
              <w:rPr/>
              <w:t> </w:t>
            </w:r>
          </w:p>
        </w:tc>
        <w:tc>
          <w:tcPr>
            <w:tcW w:w="28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380</w:t>
            </w:r>
          </w:p>
        </w:tc>
        <w:tc>
          <w:tcPr>
            <w:tcW w:w="9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614</w:t>
            </w:r>
          </w:p>
        </w:tc>
        <w:tc>
          <w:tcPr>
            <w:tcW w:w="66"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Post-Employment Pension and Medical Benefits</w:t>
            </w:r>
          </w:p>
        </w:tc>
        <w:tc>
          <w:tcPr>
            <w:tcW w:w="28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16</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83</w:t>
            </w:r>
          </w:p>
        </w:tc>
        <w:tc>
          <w:tcPr>
            <w:tcW w:w="142" w:type="dxa"/>
            <w:tcBorders/>
            <w:vAlign w:val="bottom"/>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30</w:t>
            </w:r>
          </w:p>
        </w:tc>
        <w:tc>
          <w:tcPr>
            <w:tcW w:w="9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108</w:t>
            </w:r>
          </w:p>
        </w:tc>
        <w:tc>
          <w:tcPr>
            <w:tcW w:w="66"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transactions</w:t>
            </w:r>
          </w:p>
        </w:tc>
        <w:tc>
          <w:tcPr>
            <w:tcW w:w="28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961</w:t>
            </w:r>
          </w:p>
        </w:tc>
        <w:tc>
          <w:tcPr>
            <w:tcW w:w="10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68</w:t>
            </w:r>
          </w:p>
        </w:tc>
        <w:tc>
          <w:tcPr>
            <w:tcW w:w="142" w:type="dxa"/>
            <w:tcBorders/>
            <w:shd w:fill="CCEEFF" w:val="clear"/>
            <w:vAlign w:val="bottom"/>
          </w:tcPr>
          <w:p>
            <w:pPr>
              <w:pStyle w:val="TableContents"/>
              <w:bidi w:val="0"/>
              <w:spacing w:before="0" w:after="283"/>
              <w:jc w:val="left"/>
              <w:rPr/>
            </w:pPr>
            <w:r>
              <w:rPr/>
              <w:t> </w:t>
            </w:r>
          </w:p>
        </w:tc>
        <w:tc>
          <w:tcPr>
            <w:tcW w:w="28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1,993</w:t>
            </w:r>
          </w:p>
        </w:tc>
        <w:tc>
          <w:tcPr>
            <w:tcW w:w="9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135</w:t>
            </w:r>
          </w:p>
        </w:tc>
        <w:tc>
          <w:tcPr>
            <w:tcW w:w="66"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42" w:type="dxa"/>
            <w:tcBorders/>
            <w:vAlign w:val="center"/>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2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1,159</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b/>
              </w:rPr>
            </w:pPr>
            <w:r>
              <w:rPr>
                <w:b/>
              </w:rPr>
              <w:t>625</w:t>
            </w:r>
          </w:p>
        </w:tc>
        <w:tc>
          <w:tcPr>
            <w:tcW w:w="142" w:type="dxa"/>
            <w:tcBorders/>
            <w:vAlign w:val="bottom"/>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2,402</w:t>
            </w:r>
          </w:p>
        </w:tc>
        <w:tc>
          <w:tcPr>
            <w:tcW w:w="9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b/>
              </w:rPr>
            </w:pPr>
            <w:r>
              <w:rPr>
                <w:b/>
              </w:rPr>
              <w:t>857</w:t>
            </w:r>
          </w:p>
        </w:tc>
        <w:tc>
          <w:tcPr>
            <w:tcW w:w="66"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42" w:type="dxa"/>
            <w:tcBorders/>
            <w:vAlign w:val="center"/>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Short-term employee benefits include salary and other non-monetary benefits.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accrued bonus liabilities amounted to EUR 227 thousand (June 30, 2025: EUR 37 thousand). Accrued bonus liabilities increased by EUR 100 thousand to EUR 114 thousand for the three months ended June 30, 2026 as compared to EUR 23 thousand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accruals reflect management’s best estimate of the expected payout based on current salary levels and performance assumptions at the reporting date. All accrued amounts are expected to be settled in cash within the following financial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Share-based payments include expenses for stock options (see Note 5).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related party transactions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67"/>
        <w:gridCol w:w="304"/>
        <w:gridCol w:w="166"/>
        <w:gridCol w:w="1057"/>
        <w:gridCol w:w="166"/>
        <w:gridCol w:w="418"/>
        <w:gridCol w:w="166"/>
        <w:gridCol w:w="1061"/>
        <w:gridCol w:w="138"/>
        <w:gridCol w:w="277"/>
        <w:gridCol w:w="133"/>
        <w:gridCol w:w="865"/>
        <w:gridCol w:w="118"/>
        <w:gridCol w:w="412"/>
        <w:gridCol w:w="117"/>
        <w:gridCol w:w="1356"/>
        <w:gridCol w:w="67"/>
      </w:tblGrid>
      <w:tr>
        <w:trPr/>
        <w:tc>
          <w:tcPr>
            <w:tcW w:w="2567"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6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Services received</w:t>
            </w:r>
          </w:p>
          <w:p>
            <w:pPr>
              <w:pStyle w:val="TableContents"/>
              <w:bidi w:val="0"/>
              <w:spacing w:before="0" w:after="20"/>
              <w:jc w:val="left"/>
              <w:rPr/>
            </w:pPr>
            <w:r>
              <w:rPr/>
              <w:t> </w:t>
            </w:r>
          </w:p>
        </w:tc>
        <w:tc>
          <w:tcPr>
            <w:tcW w:w="304" w:type="dxa"/>
            <w:tcBorders/>
            <w:vAlign w:val="bottom"/>
          </w:tcPr>
          <w:p>
            <w:pPr>
              <w:pStyle w:val="TableContents"/>
              <w:bidi w:val="0"/>
              <w:spacing w:before="0" w:after="283"/>
              <w:jc w:val="left"/>
              <w:rPr/>
            </w:pPr>
            <w:r>
              <w:rPr/>
              <w:t>  </w:t>
            </w:r>
          </w:p>
        </w:tc>
        <w:tc>
          <w:tcPr>
            <w:tcW w:w="3034" w:type="dxa"/>
            <w:gridSpan w:val="6"/>
            <w:tcBorders/>
            <w:vAlign w:val="bottom"/>
          </w:tcPr>
          <w:p>
            <w:pPr>
              <w:pStyle w:val="TableContents"/>
              <w:bidi w:val="0"/>
              <w:spacing w:before="0" w:after="283"/>
              <w:jc w:val="center"/>
              <w:rPr>
                <w:b/>
              </w:rPr>
            </w:pPr>
            <w:r>
              <w:rPr>
                <w:b/>
              </w:rPr>
              <w:t>Transaction values for the</w:t>
              <w:br/>
              <w:t>three months ended June 30,</w:t>
            </w:r>
          </w:p>
        </w:tc>
        <w:tc>
          <w:tcPr>
            <w:tcW w:w="138" w:type="dxa"/>
            <w:tcBorders/>
            <w:vAlign w:val="bottom"/>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3001" w:type="dxa"/>
            <w:gridSpan w:val="6"/>
            <w:tcBorders/>
            <w:vAlign w:val="bottom"/>
          </w:tcPr>
          <w:p>
            <w:pPr>
              <w:pStyle w:val="TableContents"/>
              <w:bidi w:val="0"/>
              <w:spacing w:before="0" w:after="283"/>
              <w:jc w:val="center"/>
              <w:rPr>
                <w:b/>
              </w:rPr>
            </w:pPr>
            <w:r>
              <w:rPr>
                <w:b/>
              </w:rPr>
              <w:t>Transaction values for the</w:t>
              <w:br/>
              <w:t>six months ended June 30,</w:t>
            </w:r>
          </w:p>
        </w:tc>
        <w:tc>
          <w:tcPr>
            <w:tcW w:w="67" w:type="dxa"/>
            <w:tcBorders/>
            <w:vAlign w:val="bottom"/>
          </w:tcPr>
          <w:p>
            <w:pPr>
              <w:pStyle w:val="TableContents"/>
              <w:bidi w:val="0"/>
              <w:spacing w:before="0" w:after="283"/>
              <w:jc w:val="left"/>
              <w:rPr/>
            </w:pPr>
            <w:r>
              <w:rPr/>
              <w:t> </w:t>
            </w:r>
          </w:p>
        </w:tc>
      </w:tr>
      <w:tr>
        <w:trPr>
          <w:trHeight w:val="30" w:hRule="atLeast"/>
        </w:trPr>
        <w:tc>
          <w:tcPr>
            <w:tcW w:w="2567" w:type="dxa"/>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c>
          <w:tcPr>
            <w:tcW w:w="1783"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left w:val="single" w:sz="2" w:space="0" w:color="000000"/>
            </w:tcBorders>
            <w:tcMar>
              <w:left w:w="28" w:type="dxa"/>
            </w:tcMar>
            <w:vAlign w:val="center"/>
          </w:tcPr>
          <w:p>
            <w:pPr>
              <w:pStyle w:val="TableContents"/>
              <w:bidi w:val="0"/>
              <w:spacing w:before="0" w:after="283"/>
              <w:jc w:val="left"/>
              <w:rPr/>
            </w:pPr>
            <w:r>
              <w:rPr/>
              <w:t> </w:t>
            </w:r>
          </w:p>
        </w:tc>
        <w:tc>
          <w:tcPr>
            <w:tcW w:w="1952" w:type="dxa"/>
            <w:gridSpan w:val="4"/>
            <w:tcBorders/>
            <w:vAlign w:val="center"/>
          </w:tcPr>
          <w:p>
            <w:pPr>
              <w:pStyle w:val="TableContents"/>
              <w:bidi w:val="0"/>
              <w:spacing w:before="0" w:after="283"/>
              <w:jc w:val="left"/>
              <w:rPr>
                <w:sz w:val="4"/>
                <w:szCs w:val="4"/>
              </w:rPr>
            </w:pPr>
            <w:r>
              <w:rPr>
                <w:sz w:val="4"/>
                <w:szCs w:val="4"/>
              </w:rPr>
            </w:r>
          </w:p>
        </w:tc>
      </w:tr>
      <w:tr>
        <w:trPr/>
        <w:tc>
          <w:tcPr>
            <w:tcW w:w="256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04"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8" w:type="dxa"/>
            <w:tcBorders/>
            <w:vAlign w:val="bottom"/>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1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r>
      <w:tr>
        <w:trPr/>
        <w:tc>
          <w:tcPr>
            <w:tcW w:w="2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by other related parties</w:t>
            </w:r>
          </w:p>
        </w:tc>
        <w:tc>
          <w:tcPr>
            <w:tcW w:w="3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277"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18"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40,200</w:t>
            </w:r>
          </w:p>
        </w:tc>
        <w:tc>
          <w:tcPr>
            <w:tcW w:w="67" w:type="dxa"/>
            <w:tcBorders/>
            <w:shd w:fill="CCEEFF" w:val="clear"/>
            <w:vAlign w:val="bottom"/>
          </w:tcPr>
          <w:p>
            <w:pPr>
              <w:pStyle w:val="TableContents"/>
              <w:bidi w:val="0"/>
              <w:spacing w:before="0" w:after="283"/>
              <w:jc w:val="left"/>
              <w:rPr/>
            </w:pPr>
            <w:r>
              <w:rPr/>
              <w:t> </w:t>
            </w:r>
          </w:p>
        </w:tc>
      </w:tr>
      <w:tr>
        <w:trPr/>
        <w:tc>
          <w:tcPr>
            <w:tcW w:w="2567" w:type="dxa"/>
            <w:tcBorders/>
          </w:tcPr>
          <w:p>
            <w:pPr>
              <w:pStyle w:val="TableContents"/>
              <w:bidi w:val="0"/>
              <w:spacing w:before="0" w:after="0"/>
              <w:jc w:val="left"/>
              <w:rPr>
                <w:rFonts w:ascii="Times New Roman" w:hAnsi="Times New Roman"/>
                <w:sz w:val="20"/>
              </w:rPr>
            </w:pPr>
            <w:r>
              <w:rPr>
                <w:rFonts w:ascii="Times New Roman" w:hAnsi="Times New Roman"/>
                <w:sz w:val="20"/>
              </w:rPr>
              <w:t>Membership fee</w:t>
            </w:r>
          </w:p>
        </w:tc>
        <w:tc>
          <w:tcPr>
            <w:tcW w:w="3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9</w:t>
            </w:r>
          </w:p>
        </w:tc>
        <w:tc>
          <w:tcPr>
            <w:tcW w:w="11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9</w:t>
            </w:r>
          </w:p>
        </w:tc>
        <w:tc>
          <w:tcPr>
            <w:tcW w:w="67" w:type="dxa"/>
            <w:tcBorders/>
            <w:vAlign w:val="bottom"/>
          </w:tcPr>
          <w:p>
            <w:pPr>
              <w:pStyle w:val="TableContents"/>
              <w:bidi w:val="0"/>
              <w:spacing w:before="0" w:after="283"/>
              <w:jc w:val="left"/>
              <w:rPr/>
            </w:pPr>
            <w:r>
              <w:rPr/>
              <w:t> </w:t>
            </w:r>
          </w:p>
        </w:tc>
      </w:tr>
      <w:tr>
        <w:trPr/>
        <w:tc>
          <w:tcPr>
            <w:tcW w:w="256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6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277"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9</w:t>
            </w:r>
          </w:p>
        </w:tc>
        <w:tc>
          <w:tcPr>
            <w:tcW w:w="118"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b/>
              </w:rPr>
            </w:pPr>
            <w:r>
              <w:rPr>
                <w:b/>
              </w:rPr>
              <w:t>40,209</w:t>
            </w:r>
          </w:p>
        </w:tc>
        <w:tc>
          <w:tcPr>
            <w:tcW w:w="67" w:type="dxa"/>
            <w:tcBorders/>
            <w:shd w:fill="CCEEFF" w:val="clear"/>
            <w:vAlign w:val="bottom"/>
          </w:tcPr>
          <w:p>
            <w:pPr>
              <w:pStyle w:val="TableContents"/>
              <w:bidi w:val="0"/>
              <w:spacing w:before="0" w:after="283"/>
              <w:jc w:val="left"/>
              <w:rPr/>
            </w:pPr>
            <w:r>
              <w:rPr/>
              <w:t> </w:t>
            </w:r>
          </w:p>
        </w:tc>
      </w:tr>
      <w:tr>
        <w:trPr/>
        <w:tc>
          <w:tcPr>
            <w:tcW w:w="256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related party transactions include Series B investments from funds under control or significant influence of Board members and membership fees.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Contingencies and Commitments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issued performance guarantees and advance payment guarantees to customers in connection with ongoing delivery projects totaling EUR 13,325 thousand (December 31, 2025: EUR 13,325 thousand). These guarantees are typically issued by financial institutions on behalf of the Group and secure the Group’s contractual obligations to deliver quantum computing systems in accordance with agreed specifications and timelines.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Business combination and the capital increase in relation to the PIPE financing in July 2026, the Group has entered into total commitments of EUR 13,474 thousand as of June 30, 2026, comprising placement and transaction fees. These commitments are contractually agreed and become due upon successful completion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As at June 30, 2026, the Group had entered into a lease agreement that has not yet commenced. The undiscounted future lease payments under this agreement amounted to EUR 3,820 thousand.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Events after the interim period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Quantistry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the Group completed the acquisition of selected technology-related assets of Quantistry GmbH (“Quantistry”), a Berlin-based developer of cloud-based, AI-enabled software for chemical and materials simulation. </w:t>
      </w:r>
    </w:p>
    <w:p>
      <w:pPr>
        <w:pStyle w:val="TextBody"/>
        <w:bidi w:val="0"/>
        <w:spacing w:before="240" w:after="0"/>
        <w:jc w:val="left"/>
        <w:rPr>
          <w:rFonts w:ascii="Times New Roman" w:hAnsi="Times New Roman"/>
          <w:sz w:val="20"/>
        </w:rPr>
      </w:pPr>
      <w:r>
        <w:rPr>
          <w:rFonts w:ascii="Times New Roman" w:hAnsi="Times New Roman"/>
          <w:sz w:val="20"/>
        </w:rPr>
        <w:t xml:space="preserve">The total purchase consideration amounts to EUR 1,900 thousand, of which 30% (EUR 570 thousand) is held in escrow for a period of three months and is subject to adjustment based on the retention of certain employees. </w:t>
      </w:r>
    </w:p>
    <w:p>
      <w:pPr>
        <w:pStyle w:val="TextBody"/>
        <w:bidi w:val="0"/>
        <w:spacing w:before="240" w:after="0"/>
        <w:jc w:val="left"/>
        <w:rPr>
          <w:rFonts w:ascii="Times New Roman" w:hAnsi="Times New Roman"/>
          <w:sz w:val="20"/>
        </w:rPr>
      </w:pPr>
      <w:r>
        <w:rPr>
          <w:rFonts w:ascii="Times New Roman" w:hAnsi="Times New Roman"/>
          <w:sz w:val="20"/>
        </w:rPr>
        <w:t xml:space="preserve">The acquired set includes inputs and substantive processes that together significantly contribute to the ability to create outputs and therefore meets the definition of a business. Accordingly, the transaction will be accounted for as a business combination using the acquisition method. </w:t>
      </w:r>
    </w:p>
    <w:p>
      <w:pPr>
        <w:pStyle w:val="TextBody"/>
        <w:bidi w:val="0"/>
        <w:spacing w:before="240" w:after="0"/>
        <w:jc w:val="left"/>
        <w:rPr>
          <w:rFonts w:ascii="Times New Roman" w:hAnsi="Times New Roman"/>
          <w:sz w:val="20"/>
        </w:rPr>
      </w:pPr>
      <w:r>
        <w:rPr>
          <w:rFonts w:ascii="Times New Roman" w:hAnsi="Times New Roman"/>
          <w:sz w:val="20"/>
        </w:rPr>
        <w:t xml:space="preserve">As the acquisition was completed after the reporting date, it has not been reflected in the condensed interim financial statements as at June 30, 2026. The initial accounting for the business combination, including the allocation of the purchase consideration to the identifiable assets acquired and liabilities assumed, has not yet been completed. Consequently, the amounts to be recognized in connection with the acquisition cannot yet be reliably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Dual listing </w:t>
      </w:r>
    </w:p>
    <w:p>
      <w:pPr>
        <w:pStyle w:val="TextBody"/>
        <w:bidi w:val="0"/>
        <w:spacing w:before="120" w:after="0"/>
        <w:jc w:val="left"/>
        <w:rPr>
          <w:rFonts w:ascii="Times New Roman" w:hAnsi="Times New Roman"/>
          <w:sz w:val="20"/>
        </w:rPr>
      </w:pPr>
      <w:r>
        <w:rPr>
          <w:rFonts w:ascii="Times New Roman" w:hAnsi="Times New Roman"/>
          <w:sz w:val="20"/>
        </w:rPr>
        <w:t>On July 1, 2026, the Company completed its business combination with Real Asset Acquisition Corp. (“RAAQ”), a Nasdaq-listed special purpose acquisition company, pursuant to the Business Combination Agreement entered into on February 22, 2026 .As part of the transaction, RAAQ merged with and into IQM US LLC, a group company, with IQM US LLC continuing as the surviving entity.</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completion of the transaction, the Company transferred 14,381,747 existing treasury shares as consideration to the former shareholders of RAAQ. The warrants previously issued by RAAQ were assumed by the Company and became warrants to purchase shares in the Company represented by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Concurrently, the Company completed the related PIPE financing, pursuant to which 14,548,000 existing treasury shares were transferred to institutional and other accredited investors at a subscription price of USD 10.00 per share, resulting in aggregate gross proceeds of EUR 127,805 thousand.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business combination, on July 2, 2026, IQM’s American Depositary Shares commenced trading on the Nasdaq Global Select Market under the ticker symbol “IQMX”.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Finnish Financial Supervisory Authority approved the Company’s listing prospectus for the admission of its ordinary shares to trading on the regulated market of Nasdaq Helsinki Ltd. Trading in the Company’s ordinary shares on Nasdaq Helsinki commenced on July 3, 2026. </w:t>
      </w:r>
    </w:p>
    <w:p>
      <w:pPr>
        <w:pStyle w:val="TextBody"/>
        <w:bidi w:val="0"/>
        <w:spacing w:before="240" w:after="0"/>
        <w:jc w:val="left"/>
        <w:rPr>
          <w:rFonts w:ascii="Times New Roman" w:hAnsi="Times New Roman"/>
          <w:sz w:val="20"/>
        </w:rPr>
      </w:pPr>
      <w:r>
        <w:rPr>
          <w:rFonts w:ascii="Times New Roman" w:hAnsi="Times New Roman"/>
          <w:sz w:val="20"/>
        </w:rPr>
        <w:t xml:space="preserve">As the business combination and the dual listing occurred after June 30, 2026, it does not affect the Group’s condensed interim financial statements as at that date. Through this transaction, the Company received total gross proceeds of approximately EUR 209,502 thousand.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Order intake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reporting date, the Company entered into an additional customer agreement in July 2026 for the development, manufacture and delivery of quantum computing hardware, with a combined contract value of EUR 33,000 thousand.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Kreos Loan </w:t>
      </w:r>
    </w:p>
    <w:p>
      <w:pPr>
        <w:pStyle w:val="TextBody"/>
        <w:bidi w:val="0"/>
        <w:spacing w:before="120" w:after="0"/>
        <w:jc w:val="left"/>
        <w:rPr>
          <w:rFonts w:ascii="Times New Roman" w:hAnsi="Times New Roman"/>
          <w:sz w:val="20"/>
        </w:rPr>
      </w:pPr>
      <w:r>
        <w:rPr>
          <w:rFonts w:ascii="Times New Roman" w:hAnsi="Times New Roman"/>
          <w:sz w:val="20"/>
        </w:rPr>
        <w:t>On July 31, 2026 the Company repaid the principal amount of the Kreos loan plus any accrued and unpaid interest, the applicable prepayment fee, the unpaid End of Loan Payment and all other amounts outstanding under the Loan. The total repayment amount under the early repayment option, including the related prepayment fee amounted to EUR 5,774 thousand. The total amount consists of EUR 4,810 thousand principal repayment, EUR 883 thousand interest and EUR 81 thousand additional fees.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288</Pages>
  <Words>148457</Words>
  <Characters>806753</Characters>
  <CharactersWithSpaces>977474</CharactersWithSpaces>
  <Paragraphs>36410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