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425d6k.htm"/>
      <w:bookmarkStart w:id="1" w:name="ksd14542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IQM Quantum Computers Oyj (the “Company”) issued, via stock exchange release (the “Release”) made with Nasdaq Helsinki Ltd. (“Nasdaq Helsinki”), notification and public disclosure regarding the subscription for Company shares with the exercise of the Company warrants. The Release is attached hereto as 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
        <w:gridCol w:w="438"/>
        <w:gridCol w:w="8990"/>
      </w:tblGrid>
      <w:tr>
        <w:trPr/>
        <w:tc>
          <w:tcPr>
            <w:tcW w:w="777"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990" w:type="dxa"/>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38" w:type="dxa"/>
            <w:tcBorders/>
            <w:vAlign w:val="bottom"/>
          </w:tcPr>
          <w:p>
            <w:pPr>
              <w:pStyle w:val="TableContents"/>
              <w:bidi w:val="0"/>
              <w:spacing w:before="0" w:after="283"/>
              <w:jc w:val="left"/>
              <w:rPr/>
            </w:pPr>
            <w:r>
              <w:rPr/>
              <w:t>  </w:t>
            </w:r>
          </w:p>
        </w:tc>
        <w:tc>
          <w:tcPr>
            <w:tcW w:w="89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7" w:type="dxa"/>
            <w:tcBorders/>
            <w:vAlign w:val="center"/>
          </w:tcPr>
          <w:p>
            <w:pPr>
              <w:pStyle w:val="TableContents"/>
              <w:bidi w:val="0"/>
              <w:spacing w:before="0" w:after="283"/>
              <w:jc w:val="left"/>
              <w:rPr>
                <w:sz w:val="4"/>
                <w:szCs w:val="4"/>
              </w:rPr>
            </w:pPr>
            <w:r>
              <w:rPr>
                <w:sz w:val="4"/>
                <w:szCs w:val="4"/>
              </w:rPr>
            </w:r>
          </w:p>
        </w:tc>
        <w:tc>
          <w:tcPr>
            <w:tcW w:w="9428"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pPr>
            <w:r>
              <w:rPr/>
              <w:t>99.1</w:t>
            </w:r>
          </w:p>
        </w:tc>
        <w:tc>
          <w:tcPr>
            <w:tcW w:w="438" w:type="dxa"/>
            <w:tcBorders/>
            <w:vAlign w:val="bottom"/>
          </w:tcPr>
          <w:p>
            <w:pPr>
              <w:pStyle w:val="TableContents"/>
              <w:bidi w:val="0"/>
              <w:spacing w:before="0" w:after="283"/>
              <w:jc w:val="left"/>
              <w:rPr/>
            </w:pPr>
            <w:r>
              <w:rPr/>
              <w:t>  </w:t>
            </w:r>
          </w:p>
        </w:tc>
        <w:tc>
          <w:tcPr>
            <w:tcW w:w="8990" w:type="dxa"/>
            <w:tcBorders/>
          </w:tcPr>
          <w:p>
            <w:pPr>
              <w:pStyle w:val="TableContents"/>
              <w:bidi w:val="0"/>
              <w:spacing w:before="0" w:after="283"/>
              <w:jc w:val="left"/>
              <w:rPr/>
            </w:pPr>
            <w:hyperlink w:anchor="d145425dex991.htm">
              <w:r>
                <w:rPr>
                  <w:rStyle w:val="InternetLink"/>
                </w:rPr>
                <w:t>Stock Exchange Release, dated July 16, 2026</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2"/>
        <w:gridCol w:w="110"/>
        <w:gridCol w:w="392"/>
        <w:gridCol w:w="110"/>
        <w:gridCol w:w="372"/>
        <w:gridCol w:w="110"/>
        <w:gridCol w:w="4629"/>
      </w:tblGrid>
      <w:tr>
        <w:trPr/>
        <w:tc>
          <w:tcPr>
            <w:tcW w:w="448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629" w:type="dxa"/>
            <w:tcBorders/>
            <w:vAlign w:val="center"/>
          </w:tcPr>
          <w:p>
            <w:pPr>
              <w:pStyle w:val="TableContents"/>
              <w:bidi w:val="0"/>
              <w:spacing w:before="0" w:after="283"/>
              <w:jc w:val="left"/>
              <w:rPr>
                <w:sz w:val="4"/>
                <w:szCs w:val="4"/>
              </w:rPr>
            </w:pPr>
            <w:r>
              <w:rPr>
                <w:sz w:val="4"/>
                <w:szCs w:val="4"/>
              </w:rPr>
            </w:r>
          </w:p>
        </w:tc>
      </w:tr>
      <w:tr>
        <w:trPr/>
        <w:tc>
          <w:tcPr>
            <w:tcW w:w="448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111" w:type="dxa"/>
            <w:gridSpan w:val="3"/>
            <w:tcBorders/>
          </w:tcPr>
          <w:p>
            <w:pPr>
              <w:pStyle w:val="TableContents"/>
              <w:bidi w:val="0"/>
              <w:spacing w:before="0" w:after="283"/>
              <w:jc w:val="left"/>
              <w:rPr>
                <w:b/>
              </w:rPr>
            </w:pPr>
            <w:r>
              <w:rPr>
                <w:b/>
              </w:rPr>
              <w:t>IQM QUANTUM COMPUTERS OYJ</w:t>
            </w:r>
          </w:p>
        </w:tc>
      </w:tr>
      <w:tr>
        <w:trPr>
          <w:trHeight w:val="240" w:hRule="atLeast"/>
        </w:trPr>
        <w:tc>
          <w:tcPr>
            <w:tcW w:w="4482"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739" w:type="dxa"/>
            <w:gridSpan w:val="2"/>
            <w:tcBorders/>
            <w:vAlign w:val="center"/>
          </w:tcPr>
          <w:p>
            <w:pPr>
              <w:pStyle w:val="TableContents"/>
              <w:bidi w:val="0"/>
              <w:spacing w:before="0" w:after="283"/>
              <w:jc w:val="left"/>
              <w:rPr>
                <w:sz w:val="4"/>
                <w:szCs w:val="4"/>
              </w:rPr>
            </w:pPr>
            <w:r>
              <w:rPr>
                <w:sz w:val="4"/>
                <w:szCs w:val="4"/>
              </w:rPr>
            </w:r>
          </w:p>
        </w:tc>
      </w:tr>
      <w:tr>
        <w:trPr/>
        <w:tc>
          <w:tcPr>
            <w:tcW w:w="4482" w:type="dxa"/>
            <w:tcBorders/>
          </w:tcPr>
          <w:p>
            <w:pPr>
              <w:pStyle w:val="TableContents"/>
              <w:bidi w:val="0"/>
              <w:spacing w:before="0" w:after="283"/>
              <w:jc w:val="left"/>
              <w:rPr/>
            </w:pPr>
            <w:r>
              <w:rPr/>
              <w:t>Date: July 20, 2026</w:t>
            </w:r>
          </w:p>
        </w:tc>
        <w:tc>
          <w:tcPr>
            <w:tcW w:w="110"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629" w:type="dxa"/>
            <w:tcBorders>
              <w:bottom w:val="single" w:sz="2" w:space="0" w:color="000000"/>
            </w:tcBorders>
            <w:tcMar>
              <w:bottom w:w="28" w:type="dxa"/>
            </w:tcMar>
          </w:tcPr>
          <w:p>
            <w:pPr>
              <w:pStyle w:val="TableContents"/>
              <w:bidi w:val="0"/>
              <w:spacing w:before="0" w:after="283"/>
              <w:jc w:val="left"/>
              <w:rPr/>
            </w:pPr>
            <w:r>
              <w:rPr/>
              <w:t>/s/ Jan Goetz</w:t>
            </w:r>
          </w:p>
        </w:tc>
      </w:tr>
      <w:tr>
        <w:trPr/>
        <w:tc>
          <w:tcPr>
            <w:tcW w:w="448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29" w:type="dxa"/>
            <w:tcBorders/>
            <w:vAlign w:val="bottom"/>
          </w:tcPr>
          <w:p>
            <w:pPr>
              <w:pStyle w:val="TableContents"/>
              <w:bidi w:val="0"/>
              <w:spacing w:before="0" w:after="283"/>
              <w:jc w:val="left"/>
              <w:rPr/>
            </w:pPr>
            <w:r>
              <w:rPr/>
              <w:t>Name: Jan Goetz</w:t>
            </w:r>
          </w:p>
        </w:tc>
      </w:tr>
      <w:tr>
        <w:trPr/>
        <w:tc>
          <w:tcPr>
            <w:tcW w:w="448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29" w:type="dxa"/>
            <w:tcBorders/>
            <w:vAlign w:val="bottom"/>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2" w:name="d145425dex991.htm"/>
      <w:bookmarkStart w:id="3" w:name="ksd14542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IQM Quantum Computers Plc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Total number of voting rights and</w:t>
            </w:r>
          </w:p>
          <w:p>
            <w:pPr>
              <w:pStyle w:val="TableContents"/>
              <w:bidi w:val="0"/>
              <w:spacing w:before="0" w:after="20"/>
              <w:jc w:val="left"/>
              <w:rPr>
                <w:rFonts w:ascii="Times New Roman" w:hAnsi="Times New Roman"/>
                <w:sz w:val="20"/>
              </w:rPr>
            </w:pPr>
            <w:r>
              <w:rPr>
                <w:rFonts w:ascii="Times New Roman" w:hAnsi="Times New Roman"/>
                <w:sz w:val="20"/>
              </w:rPr>
              <w:t>shares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IQM Quantum Computers Plc’s new shares subscribed for with warrants have been registered with the Finnish Trade Register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Stock Exchange Release, July 16, 2026 at 17:15 (EEST) </w:t>
      </w:r>
    </w:p>
    <w:p>
      <w:pPr>
        <w:pStyle w:val="TextBody"/>
        <w:bidi w:val="0"/>
        <w:spacing w:before="240" w:after="0"/>
        <w:jc w:val="left"/>
        <w:rPr>
          <w:rFonts w:ascii="Times New Roman" w:hAnsi="Times New Roman"/>
          <w:sz w:val="20"/>
        </w:rPr>
      </w:pPr>
      <w:r>
        <w:rPr>
          <w:rFonts w:ascii="Times New Roman" w:hAnsi="Times New Roman"/>
          <w:sz w:val="20"/>
        </w:rPr>
        <w:t>A total of 577,237 new shares have been subscribed for with IQM Quantum Computers Plc’s (“</w:t>
      </w:r>
      <w:r>
        <w:rPr>
          <w:rFonts w:ascii="Times New Roman" w:hAnsi="Times New Roman"/>
          <w:b/>
          <w:sz w:val="20"/>
        </w:rPr>
        <w:t>IQM</w:t>
      </w:r>
      <w:r>
        <w:rPr>
          <w:rFonts w:ascii="Times New Roman" w:hAnsi="Times New Roman"/>
          <w:sz w:val="20"/>
        </w:rPr>
        <w:t>” or the “</w:t>
      </w:r>
      <w:r>
        <w:rPr>
          <w:rFonts w:ascii="Times New Roman" w:hAnsi="Times New Roman"/>
          <w:b/>
          <w:sz w:val="20"/>
        </w:rPr>
        <w:t>Company</w:t>
      </w:r>
      <w:r>
        <w:rPr>
          <w:rFonts w:ascii="Times New Roman" w:hAnsi="Times New Roman"/>
          <w:sz w:val="20"/>
        </w:rPr>
        <w:t>”) warrants. The warrants were exercised by Kreos Capital VII Aggregator SCSp (“</w:t>
      </w:r>
      <w:r>
        <w:rPr>
          <w:rFonts w:ascii="Times New Roman" w:hAnsi="Times New Roman"/>
          <w:b/>
          <w:sz w:val="20"/>
        </w:rPr>
        <w:t>Kreos</w:t>
      </w:r>
      <w:r>
        <w:rPr>
          <w:rFonts w:ascii="Times New Roman" w:hAnsi="Times New Roman"/>
          <w:sz w:val="20"/>
        </w:rPr>
        <w:t xml:space="preserve">”) to whom the warrants were issued in connection with a financing arrangement pursuant to a warrant agreement dated December 23, 2025. </w:t>
      </w:r>
    </w:p>
    <w:p>
      <w:pPr>
        <w:pStyle w:val="TextBody"/>
        <w:bidi w:val="0"/>
        <w:spacing w:before="240" w:after="0"/>
        <w:jc w:val="left"/>
        <w:rPr>
          <w:rFonts w:ascii="Times New Roman" w:hAnsi="Times New Roman"/>
          <w:sz w:val="20"/>
        </w:rPr>
      </w:pPr>
      <w:r>
        <w:rPr>
          <w:rFonts w:ascii="Times New Roman" w:hAnsi="Times New Roman"/>
          <w:sz w:val="20"/>
        </w:rPr>
        <w:t xml:space="preserve">Under the warrant agreement, the warrants entitled Kreos to subscribe for a maximum of 1,015,511 shares. Kreos exercised all outstanding warrants through a net exercise, whereby instead of paying the aggregate subscription price in cash, Kreos elected to receive a reduced number of shares. As a result, 577,237 new shares were issued to Kreos. The aggregate subscription price of EUR 5,772.37 (EUR 0.01 per share) will be entered in its entirety into the Company’s reserve for invested unrestricted equity. Following this exercise of warrants, no warrants remain outstanding under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subscribed for with the warrants have been registered with the Finnish Trade Register today, July 16, 2026. As a result of the registration, the total number of IQM’s shares and votes is 263,039,597. The new shares confer shareholder rights on their holders from the date of registration. The new shares will be admitted to trading on the regulated market of Nasdaq Helsinki Ltd together with the pre-existing shares on or about July 20, 2026.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12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575</Words>
  <Characters>3232</Characters>
  <CharactersWithSpaces>3828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