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9708d6k.htm"/>
      <w:bookmarkStart w:id="1" w:name="ksd12970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001-43383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IQM Quantum Computers Oyj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Keilaranta 19</w:t>
      </w:r>
    </w:p>
    <w:p>
      <w:pPr>
        <w:pStyle w:val="TextBody"/>
        <w:bidi w:val="0"/>
        <w:spacing w:before="0" w:after="0"/>
        <w:jc w:val="center"/>
        <w:rPr>
          <w:rFonts w:ascii="Times New Roman" w:hAnsi="Times New Roman"/>
          <w:b/>
          <w:sz w:val="20"/>
        </w:rPr>
      </w:pPr>
      <w:r>
        <w:rPr>
          <w:rFonts w:ascii="Times New Roman" w:hAnsi="Times New Roman"/>
          <w:b/>
          <w:sz w:val="20"/>
        </w:rPr>
        <w:t>FI-02150 Espoo</w:t>
      </w:r>
    </w:p>
    <w:p>
      <w:pPr>
        <w:pStyle w:val="TextBody"/>
        <w:bidi w:val="0"/>
        <w:spacing w:before="0" w:after="0"/>
        <w:jc w:val="center"/>
        <w:rPr>
          <w:rFonts w:ascii="Times New Roman" w:hAnsi="Times New Roman"/>
          <w:b/>
          <w:sz w:val="20"/>
        </w:rPr>
      </w:pPr>
      <w:r>
        <w:rPr>
          <w:rFonts w:ascii="Times New Roman" w:hAnsi="Times New Roman"/>
          <w:b/>
          <w:sz w:val="20"/>
        </w:rPr>
        <w:t>Finland</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pPr>
      <w:r>
        <w:rPr/>
        <w:t>☒ </w:t>
      </w:r>
      <w:r>
        <w:rPr>
          <w:rFonts w:ascii="Times New Roman" w:hAnsi="Times New Roman"/>
          <w:sz w:val="20"/>
        </w:rPr>
        <w:t xml:space="preserve">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IQM Quantum Computers Oyj (the “Company”) issued, via stock exchange release (the “Release”) made with Nasdaq Helsinki Ltd. (“Nasdaq Helsinki”), notification and public disclosure regarding the subscription for Company shares under the Company’s first Employee Stock Option Plan (ESOP 1). The Release is attached hereto as Exhibit 99.1.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7"/>
        <w:gridCol w:w="438"/>
        <w:gridCol w:w="8990"/>
      </w:tblGrid>
      <w:tr>
        <w:trPr/>
        <w:tc>
          <w:tcPr>
            <w:tcW w:w="777"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8990" w:type="dxa"/>
            <w:tcBorders/>
            <w:vAlign w:val="center"/>
          </w:tcPr>
          <w:p>
            <w:pPr>
              <w:pStyle w:val="TableContents"/>
              <w:bidi w:val="0"/>
              <w:spacing w:before="0" w:after="283"/>
              <w:jc w:val="left"/>
              <w:rPr>
                <w:sz w:val="4"/>
                <w:szCs w:val="4"/>
              </w:rPr>
            </w:pPr>
            <w:r>
              <w:rPr>
                <w:sz w:val="4"/>
                <w:szCs w:val="4"/>
              </w:rPr>
            </w:r>
          </w:p>
        </w:tc>
      </w:tr>
      <w:tr>
        <w:trPr/>
        <w:tc>
          <w:tcPr>
            <w:tcW w:w="777"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No.</w:t>
            </w:r>
          </w:p>
        </w:tc>
        <w:tc>
          <w:tcPr>
            <w:tcW w:w="438" w:type="dxa"/>
            <w:tcBorders/>
            <w:vAlign w:val="bottom"/>
          </w:tcPr>
          <w:p>
            <w:pPr>
              <w:pStyle w:val="TableContents"/>
              <w:bidi w:val="0"/>
              <w:spacing w:before="0" w:after="283"/>
              <w:jc w:val="left"/>
              <w:rPr/>
            </w:pPr>
            <w:r>
              <w:rPr/>
              <w:t>  </w:t>
            </w:r>
          </w:p>
        </w:tc>
        <w:tc>
          <w:tcPr>
            <w:tcW w:w="89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77" w:type="dxa"/>
            <w:tcBorders/>
            <w:vAlign w:val="center"/>
          </w:tcPr>
          <w:p>
            <w:pPr>
              <w:pStyle w:val="TableContents"/>
              <w:bidi w:val="0"/>
              <w:spacing w:before="0" w:after="283"/>
              <w:jc w:val="left"/>
              <w:rPr>
                <w:sz w:val="4"/>
                <w:szCs w:val="4"/>
              </w:rPr>
            </w:pPr>
            <w:r>
              <w:rPr>
                <w:sz w:val="4"/>
                <w:szCs w:val="4"/>
              </w:rPr>
            </w:r>
          </w:p>
        </w:tc>
        <w:tc>
          <w:tcPr>
            <w:tcW w:w="9428"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tcPr>
          <w:p>
            <w:pPr>
              <w:pStyle w:val="TableContents"/>
              <w:bidi w:val="0"/>
              <w:spacing w:before="0" w:after="283"/>
              <w:jc w:val="left"/>
              <w:rPr/>
            </w:pPr>
            <w:r>
              <w:rPr/>
              <w:t>99.1</w:t>
            </w:r>
          </w:p>
        </w:tc>
        <w:tc>
          <w:tcPr>
            <w:tcW w:w="438" w:type="dxa"/>
            <w:tcBorders/>
            <w:vAlign w:val="bottom"/>
          </w:tcPr>
          <w:p>
            <w:pPr>
              <w:pStyle w:val="TableContents"/>
              <w:bidi w:val="0"/>
              <w:spacing w:before="0" w:after="283"/>
              <w:jc w:val="left"/>
              <w:rPr/>
            </w:pPr>
            <w:r>
              <w:rPr/>
              <w:t>  </w:t>
            </w:r>
          </w:p>
        </w:tc>
        <w:tc>
          <w:tcPr>
            <w:tcW w:w="8990" w:type="dxa"/>
            <w:tcBorders/>
          </w:tcPr>
          <w:p>
            <w:pPr>
              <w:pStyle w:val="TableContents"/>
              <w:bidi w:val="0"/>
              <w:spacing w:before="0" w:after="283"/>
              <w:jc w:val="left"/>
              <w:rPr/>
            </w:pPr>
            <w:hyperlink w:anchor="d129708dex991.htm">
              <w:r>
                <w:rPr>
                  <w:rStyle w:val="InternetLink"/>
                </w:rPr>
                <w:t xml:space="preserve">Stock Exchange Release, dated July 29,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87"/>
        <w:gridCol w:w="101"/>
        <w:gridCol w:w="408"/>
        <w:gridCol w:w="102"/>
        <w:gridCol w:w="306"/>
        <w:gridCol w:w="102"/>
        <w:gridCol w:w="510"/>
        <w:gridCol w:w="101"/>
        <w:gridCol w:w="4288"/>
      </w:tblGrid>
      <w:tr>
        <w:trPr/>
        <w:tc>
          <w:tcPr>
            <w:tcW w:w="428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288" w:type="dxa"/>
            <w:tcBorders/>
            <w:vAlign w:val="center"/>
          </w:tcPr>
          <w:p>
            <w:pPr>
              <w:pStyle w:val="TableContents"/>
              <w:bidi w:val="0"/>
              <w:spacing w:before="0" w:after="283"/>
              <w:jc w:val="left"/>
              <w:rPr>
                <w:sz w:val="4"/>
                <w:szCs w:val="4"/>
              </w:rPr>
            </w:pPr>
            <w:r>
              <w:rPr>
                <w:sz w:val="4"/>
                <w:szCs w:val="4"/>
              </w:rPr>
            </w:r>
          </w:p>
        </w:tc>
      </w:tr>
      <w:tr>
        <w:trPr/>
        <w:tc>
          <w:tcPr>
            <w:tcW w:w="428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307" w:type="dxa"/>
            <w:gridSpan w:val="5"/>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IQM QUANTUM COMPUTERS OYJ</w:t>
            </w:r>
          </w:p>
        </w:tc>
      </w:tr>
      <w:tr>
        <w:trPr>
          <w:trHeight w:val="240" w:hRule="atLeast"/>
        </w:trPr>
        <w:tc>
          <w:tcPr>
            <w:tcW w:w="428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5001" w:type="dxa"/>
            <w:gridSpan w:val="4"/>
            <w:tcBorders/>
            <w:vAlign w:val="center"/>
          </w:tcPr>
          <w:p>
            <w:pPr>
              <w:pStyle w:val="TableContents"/>
              <w:bidi w:val="0"/>
              <w:spacing w:before="0" w:after="283"/>
              <w:jc w:val="left"/>
              <w:rPr>
                <w:sz w:val="4"/>
                <w:szCs w:val="4"/>
              </w:rPr>
            </w:pPr>
            <w:r>
              <w:rPr>
                <w:sz w:val="4"/>
                <w:szCs w:val="4"/>
              </w:rPr>
            </w:r>
          </w:p>
        </w:tc>
      </w:tr>
      <w:tr>
        <w:trPr/>
        <w:tc>
          <w:tcPr>
            <w:tcW w:w="42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Date: August 3, 2026</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2" w:type="dxa"/>
            <w:tcBorders/>
            <w:vAlign w:val="bottom"/>
          </w:tcPr>
          <w:p>
            <w:pPr>
              <w:pStyle w:val="TableContents"/>
              <w:bidi w:val="0"/>
              <w:spacing w:before="0" w:after="283"/>
              <w:jc w:val="left"/>
              <w:rPr/>
            </w:pPr>
            <w:r>
              <w:rPr/>
              <w:t> </w:t>
            </w:r>
          </w:p>
        </w:tc>
        <w:tc>
          <w:tcPr>
            <w:tcW w:w="489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Goetz</w:t>
            </w:r>
          </w:p>
        </w:tc>
      </w:tr>
      <w:tr>
        <w:trPr/>
        <w:tc>
          <w:tcPr>
            <w:tcW w:w="428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1" w:type="dxa"/>
            <w:tcBorders/>
            <w:vAlign w:val="bottom"/>
          </w:tcPr>
          <w:p>
            <w:pPr>
              <w:pStyle w:val="TableContents"/>
              <w:bidi w:val="0"/>
              <w:spacing w:before="0" w:after="283"/>
              <w:jc w:val="left"/>
              <w:rPr/>
            </w:pPr>
            <w:r>
              <w:rPr/>
              <w:t> </w:t>
            </w:r>
          </w:p>
        </w:tc>
        <w:tc>
          <w:tcPr>
            <w:tcW w:w="42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Jan Goetz</w:t>
            </w:r>
          </w:p>
        </w:tc>
      </w:tr>
      <w:tr>
        <w:trPr/>
        <w:tc>
          <w:tcPr>
            <w:tcW w:w="428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1" w:type="dxa"/>
            <w:tcBorders/>
            <w:vAlign w:val="bottom"/>
          </w:tcPr>
          <w:p>
            <w:pPr>
              <w:pStyle w:val="TableContents"/>
              <w:bidi w:val="0"/>
              <w:spacing w:before="0" w:after="283"/>
              <w:jc w:val="left"/>
              <w:rPr/>
            </w:pPr>
            <w:r>
              <w:rPr/>
              <w:t> </w:t>
            </w:r>
          </w:p>
        </w:tc>
        <w:tc>
          <w:tcPr>
            <w:tcW w:w="42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0" w:after="0"/>
        <w:jc w:val="right"/>
        <w:rPr>
          <w:rFonts w:ascii="Times New Roman" w:hAnsi="Times New Roman"/>
          <w:b/>
          <w:sz w:val="20"/>
        </w:rPr>
      </w:pPr>
      <w:bookmarkStart w:id="2" w:name="d129708dex991.htm"/>
      <w:bookmarkStart w:id="3" w:name="ksd129708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Total number of voting rights and </w:t>
      </w:r>
    </w:p>
    <w:p>
      <w:pPr>
        <w:pStyle w:val="TextBody"/>
        <w:bidi w:val="0"/>
        <w:spacing w:before="0" w:after="0"/>
        <w:jc w:val="left"/>
        <w:rPr>
          <w:rFonts w:ascii="Times New Roman" w:hAnsi="Times New Roman"/>
          <w:sz w:val="20"/>
        </w:rPr>
      </w:pPr>
      <w:r>
        <w:rPr>
          <w:rFonts w:ascii="Times New Roman" w:hAnsi="Times New Roman"/>
          <w:sz w:val="20"/>
        </w:rPr>
        <w:t xml:space="preserve">shares </w:t>
      </w:r>
    </w:p>
    <w:p>
      <w:pPr>
        <w:pStyle w:val="TextBody"/>
        <w:bidi w:val="0"/>
        <w:spacing w:before="360" w:after="0"/>
        <w:jc w:val="left"/>
        <w:rPr>
          <w:rFonts w:ascii="Times New Roman" w:hAnsi="Times New Roman"/>
          <w:b/>
          <w:sz w:val="20"/>
        </w:rPr>
      </w:pPr>
      <w:r>
        <w:rPr>
          <w:rFonts w:ascii="Times New Roman" w:hAnsi="Times New Roman"/>
          <w:b/>
          <w:sz w:val="20"/>
        </w:rPr>
        <w:t xml:space="preserve">IQM Quantum Computers Plc’s new shares subscribed for under ESOP 1 have been registered with the Finnish Trade Register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Plc, Stock Exchange Release, Total number of voting rights and shares, 29 July, 2026 at 10:00 EEST/EET. </w:t>
      </w:r>
    </w:p>
    <w:p>
      <w:pPr>
        <w:pStyle w:val="TextBody"/>
        <w:bidi w:val="0"/>
        <w:spacing w:before="240" w:after="0"/>
        <w:jc w:val="left"/>
        <w:rPr>
          <w:rFonts w:ascii="Times New Roman" w:hAnsi="Times New Roman"/>
          <w:sz w:val="20"/>
        </w:rPr>
      </w:pPr>
      <w:r>
        <w:rPr>
          <w:rFonts w:ascii="Times New Roman" w:hAnsi="Times New Roman"/>
          <w:sz w:val="20"/>
        </w:rPr>
        <w:t xml:space="preserve">A total of 183,619 new shares have been subscribed for under IQM Quantum Computers Plc’s (“IQM” or the “Company”) ESOP 1 employee stock option plan during the period from 10 to 14 July 2026. The aggregate subscription price of EUR 74,393.80 has been entered into the Company’s reserve for invested unrestricted equity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The Company completed the business combination with Real Asset Acquisition Corp. (“RAAQ”) on 1 July 2026 (“Business Combination”). Under the ESOP 1 terms, the exercise period accelerated immediately upon the completion of the Business Combination and expired 14 days thereafter. Following these subscriptions, no option rights remain outstanding under ESOP 1.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have been registered with the Finnish Trade Register today, 29 July 2026. As a result of the registration, the total number of IQM’s shares and votes is 263,223,216. The new shares confer shareholder rights on their holders from the date of registration. The new shares will be admitted to trading on the regulated market of Nasdaq Helsinki Ltd together with the pre-existing shares on or about 30 July 2026.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p>
    <w:p>
      <w:pPr>
        <w:pStyle w:val="TextBody"/>
        <w:bidi w:val="0"/>
        <w:spacing w:before="240" w:after="0"/>
        <w:jc w:val="left"/>
        <w:rPr>
          <w:rFonts w:ascii="Times New Roman" w:hAnsi="Times New Roman"/>
          <w:i/>
          <w:sz w:val="20"/>
        </w:rPr>
      </w:pPr>
      <w:r>
        <w:rPr>
          <w:rFonts w:ascii="Times New Roman" w:hAnsi="Times New Roman"/>
          <w:i/>
          <w:sz w:val="20"/>
        </w:rPr>
        <w:t xml:space="preserve">Investor Relations Officer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Investors@iqm.tech </w:t>
      </w:r>
    </w:p>
    <w:p>
      <w:pPr>
        <w:pStyle w:val="TextBody"/>
        <w:bidi w:val="0"/>
        <w:spacing w:before="36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543</Words>
  <Characters>3055</Characters>
  <CharactersWithSpaces>3622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