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2146d6k.htm"/>
      <w:bookmarkStart w:id="1" w:name="ksd132146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001-43383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IQM Quantum Computers Oyj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Keilaranta 19</w:t>
      </w:r>
    </w:p>
    <w:p>
      <w:pPr>
        <w:pStyle w:val="TextBody"/>
        <w:bidi w:val="0"/>
        <w:spacing w:before="0" w:after="0"/>
        <w:jc w:val="center"/>
        <w:rPr>
          <w:rFonts w:ascii="Times New Roman" w:hAnsi="Times New Roman"/>
          <w:b/>
          <w:sz w:val="20"/>
        </w:rPr>
      </w:pPr>
      <w:r>
        <w:rPr>
          <w:rFonts w:ascii="Times New Roman" w:hAnsi="Times New Roman"/>
          <w:b/>
          <w:sz w:val="20"/>
        </w:rPr>
        <w:t>FI-02150 Espoo</w:t>
      </w:r>
    </w:p>
    <w:p>
      <w:pPr>
        <w:pStyle w:val="TextBody"/>
        <w:bidi w:val="0"/>
        <w:spacing w:before="0" w:after="0"/>
        <w:jc w:val="center"/>
        <w:rPr>
          <w:rFonts w:ascii="Times New Roman" w:hAnsi="Times New Roman"/>
          <w:b/>
          <w:sz w:val="20"/>
        </w:rPr>
      </w:pPr>
      <w:r>
        <w:rPr>
          <w:rFonts w:ascii="Times New Roman" w:hAnsi="Times New Roman"/>
          <w:b/>
          <w:sz w:val="20"/>
        </w:rPr>
        <w:t>Finland</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pPr>
      <w:r>
        <w:rPr/>
        <w:t>☒ </w:t>
      </w:r>
      <w:r>
        <w:rPr>
          <w:rFonts w:ascii="Times New Roman" w:hAnsi="Times New Roman"/>
          <w:sz w:val="20"/>
        </w:rPr>
        <w:t xml:space="preserve">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sz w:val="20"/>
        </w:rPr>
      </w:pPr>
      <w:r>
        <w:rPr>
          <w:rFonts w:ascii="Times New Roman" w:hAnsi="Times New Roman"/>
          <w:sz w:val="20"/>
        </w:rPr>
        <w:t xml:space="preserve">On July 14, 2026, IQM Quantum Computers Oyj (the “Company”) issued, via stock exchange releases made with Nasdaq Helsinki Ltd. (“Nasdaq Helsinki”), notification and public disclosure regarding the receipt of shares by persons discharging managerial responsibilities as a share-based incentive, which are attached hereto as Exhibits 99.1–99.3.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9"/>
        <w:gridCol w:w="436"/>
        <w:gridCol w:w="8980"/>
      </w:tblGrid>
      <w:tr>
        <w:trPr/>
        <w:tc>
          <w:tcPr>
            <w:tcW w:w="789" w:type="dxa"/>
            <w:tcBorders/>
            <w:vAlign w:val="center"/>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sz w:val="4"/>
                <w:szCs w:val="4"/>
              </w:rPr>
            </w:pPr>
            <w:r>
              <w:rPr>
                <w:sz w:val="4"/>
                <w:szCs w:val="4"/>
              </w:rPr>
            </w:r>
          </w:p>
        </w:tc>
        <w:tc>
          <w:tcPr>
            <w:tcW w:w="8980" w:type="dxa"/>
            <w:tcBorders/>
            <w:vAlign w:val="center"/>
          </w:tcPr>
          <w:p>
            <w:pPr>
              <w:pStyle w:val="TableContents"/>
              <w:bidi w:val="0"/>
              <w:spacing w:before="0" w:after="283"/>
              <w:jc w:val="left"/>
              <w:rPr>
                <w:sz w:val="4"/>
                <w:szCs w:val="4"/>
              </w:rPr>
            </w:pPr>
            <w:r>
              <w:rPr>
                <w:sz w:val="4"/>
                <w:szCs w:val="4"/>
              </w:rPr>
            </w:r>
          </w:p>
        </w:tc>
      </w:tr>
      <w:tr>
        <w:trPr/>
        <w:tc>
          <w:tcPr>
            <w:tcW w:w="789"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No.</w:t>
            </w:r>
          </w:p>
        </w:tc>
        <w:tc>
          <w:tcPr>
            <w:tcW w:w="436" w:type="dxa"/>
            <w:tcBorders/>
            <w:vAlign w:val="bottom"/>
          </w:tcPr>
          <w:p>
            <w:pPr>
              <w:pStyle w:val="TableContents"/>
              <w:bidi w:val="0"/>
              <w:spacing w:before="0" w:after="283"/>
              <w:jc w:val="left"/>
              <w:rPr/>
            </w:pPr>
            <w:r>
              <w:rPr/>
              <w:t>  </w:t>
            </w:r>
          </w:p>
        </w:tc>
        <w:tc>
          <w:tcPr>
            <w:tcW w:w="8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89" w:type="dxa"/>
            <w:tcBorders/>
            <w:vAlign w:val="center"/>
          </w:tcPr>
          <w:p>
            <w:pPr>
              <w:pStyle w:val="TableContents"/>
              <w:bidi w:val="0"/>
              <w:spacing w:before="0" w:after="283"/>
              <w:jc w:val="left"/>
              <w:rPr>
                <w:sz w:val="4"/>
                <w:szCs w:val="4"/>
              </w:rPr>
            </w:pPr>
            <w:r>
              <w:rPr>
                <w:sz w:val="4"/>
                <w:szCs w:val="4"/>
              </w:rPr>
            </w:r>
          </w:p>
        </w:tc>
        <w:tc>
          <w:tcPr>
            <w:tcW w:w="9416"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tcPr>
          <w:p>
            <w:pPr>
              <w:pStyle w:val="TableContents"/>
              <w:bidi w:val="0"/>
              <w:spacing w:before="0" w:after="283"/>
              <w:jc w:val="left"/>
              <w:rPr/>
            </w:pPr>
            <w:r>
              <w:rPr/>
              <w:t>99.1</w:t>
            </w:r>
          </w:p>
        </w:tc>
        <w:tc>
          <w:tcPr>
            <w:tcW w:w="436" w:type="dxa"/>
            <w:tcBorders/>
            <w:vAlign w:val="bottom"/>
          </w:tcPr>
          <w:p>
            <w:pPr>
              <w:pStyle w:val="TableContents"/>
              <w:bidi w:val="0"/>
              <w:spacing w:before="0" w:after="283"/>
              <w:jc w:val="left"/>
              <w:rPr/>
            </w:pPr>
            <w:r>
              <w:rPr/>
              <w:t>  </w:t>
            </w:r>
          </w:p>
        </w:tc>
        <w:tc>
          <w:tcPr>
            <w:tcW w:w="8980" w:type="dxa"/>
            <w:tcBorders/>
          </w:tcPr>
          <w:p>
            <w:pPr>
              <w:pStyle w:val="TableContents"/>
              <w:bidi w:val="0"/>
              <w:spacing w:before="0" w:after="283"/>
              <w:jc w:val="left"/>
              <w:rPr/>
            </w:pPr>
            <w:hyperlink w:anchor="d132146dex991.htm">
              <w:r>
                <w:rPr>
                  <w:rStyle w:val="InternetLink"/>
                </w:rPr>
                <w:t xml:space="preserve">Stock Exchange Release, dated July 14, 2026 (Barbara Venneman) </w:t>
              </w:r>
            </w:hyperlink>
          </w:p>
        </w:tc>
      </w:tr>
      <w:tr>
        <w:trPr>
          <w:trHeight w:val="120" w:hRule="atLeast"/>
        </w:trPr>
        <w:tc>
          <w:tcPr>
            <w:tcW w:w="789" w:type="dxa"/>
            <w:tcBorders/>
            <w:vAlign w:val="center"/>
          </w:tcPr>
          <w:p>
            <w:pPr>
              <w:pStyle w:val="TableContents"/>
              <w:bidi w:val="0"/>
              <w:spacing w:before="0" w:after="283"/>
              <w:jc w:val="left"/>
              <w:rPr>
                <w:sz w:val="4"/>
                <w:szCs w:val="4"/>
              </w:rPr>
            </w:pPr>
            <w:r>
              <w:rPr>
                <w:sz w:val="4"/>
                <w:szCs w:val="4"/>
              </w:rPr>
            </w:r>
          </w:p>
        </w:tc>
        <w:tc>
          <w:tcPr>
            <w:tcW w:w="9416"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tcPr>
          <w:p>
            <w:pPr>
              <w:pStyle w:val="TableContents"/>
              <w:bidi w:val="0"/>
              <w:spacing w:before="0" w:after="283"/>
              <w:jc w:val="left"/>
              <w:rPr/>
            </w:pPr>
            <w:r>
              <w:rPr/>
              <w:t>99.2</w:t>
            </w:r>
          </w:p>
        </w:tc>
        <w:tc>
          <w:tcPr>
            <w:tcW w:w="436" w:type="dxa"/>
            <w:tcBorders/>
            <w:vAlign w:val="bottom"/>
          </w:tcPr>
          <w:p>
            <w:pPr>
              <w:pStyle w:val="TableContents"/>
              <w:bidi w:val="0"/>
              <w:spacing w:before="0" w:after="283"/>
              <w:jc w:val="left"/>
              <w:rPr/>
            </w:pPr>
            <w:r>
              <w:rPr/>
              <w:t>  </w:t>
            </w:r>
          </w:p>
        </w:tc>
        <w:tc>
          <w:tcPr>
            <w:tcW w:w="8980" w:type="dxa"/>
            <w:tcBorders/>
          </w:tcPr>
          <w:p>
            <w:pPr>
              <w:pStyle w:val="TableContents"/>
              <w:bidi w:val="0"/>
              <w:spacing w:before="0" w:after="283"/>
              <w:jc w:val="left"/>
              <w:rPr/>
            </w:pPr>
            <w:hyperlink w:anchor="d132146dex992.htm">
              <w:r>
                <w:rPr>
                  <w:rStyle w:val="InternetLink"/>
                </w:rPr>
                <w:t xml:space="preserve">Stock Exchange Release, dated July 14, 2026 (Hannu Martola) </w:t>
              </w:r>
            </w:hyperlink>
          </w:p>
        </w:tc>
      </w:tr>
      <w:tr>
        <w:trPr>
          <w:trHeight w:val="120" w:hRule="atLeast"/>
        </w:trPr>
        <w:tc>
          <w:tcPr>
            <w:tcW w:w="789" w:type="dxa"/>
            <w:tcBorders/>
            <w:vAlign w:val="center"/>
          </w:tcPr>
          <w:p>
            <w:pPr>
              <w:pStyle w:val="TableContents"/>
              <w:bidi w:val="0"/>
              <w:spacing w:before="0" w:after="283"/>
              <w:jc w:val="left"/>
              <w:rPr>
                <w:sz w:val="4"/>
                <w:szCs w:val="4"/>
              </w:rPr>
            </w:pPr>
            <w:r>
              <w:rPr>
                <w:sz w:val="4"/>
                <w:szCs w:val="4"/>
              </w:rPr>
            </w:r>
          </w:p>
        </w:tc>
        <w:tc>
          <w:tcPr>
            <w:tcW w:w="9416"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tcPr>
          <w:p>
            <w:pPr>
              <w:pStyle w:val="TableContents"/>
              <w:bidi w:val="0"/>
              <w:spacing w:before="0" w:after="283"/>
              <w:jc w:val="left"/>
              <w:rPr/>
            </w:pPr>
            <w:r>
              <w:rPr/>
              <w:t>99.3</w:t>
            </w:r>
          </w:p>
        </w:tc>
        <w:tc>
          <w:tcPr>
            <w:tcW w:w="436" w:type="dxa"/>
            <w:tcBorders/>
            <w:vAlign w:val="bottom"/>
          </w:tcPr>
          <w:p>
            <w:pPr>
              <w:pStyle w:val="TableContents"/>
              <w:bidi w:val="0"/>
              <w:spacing w:before="0" w:after="283"/>
              <w:jc w:val="left"/>
              <w:rPr/>
            </w:pPr>
            <w:r>
              <w:rPr/>
              <w:t>  </w:t>
            </w:r>
          </w:p>
        </w:tc>
        <w:tc>
          <w:tcPr>
            <w:tcW w:w="8980" w:type="dxa"/>
            <w:tcBorders/>
          </w:tcPr>
          <w:p>
            <w:pPr>
              <w:pStyle w:val="TableContents"/>
              <w:bidi w:val="0"/>
              <w:spacing w:before="0" w:after="283"/>
              <w:jc w:val="left"/>
              <w:rPr/>
            </w:pPr>
            <w:hyperlink w:anchor="d132146dex993.htm">
              <w:r>
                <w:rPr>
                  <w:rStyle w:val="InternetLink"/>
                </w:rPr>
                <w:t xml:space="preserve">Stock Exchange Release, dated July 14, 2026 (Sierk Pötting)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1"/>
        <w:gridCol w:w="109"/>
        <w:gridCol w:w="397"/>
        <w:gridCol w:w="109"/>
        <w:gridCol w:w="357"/>
        <w:gridCol w:w="109"/>
        <w:gridCol w:w="4593"/>
      </w:tblGrid>
      <w:tr>
        <w:trPr/>
        <w:tc>
          <w:tcPr>
            <w:tcW w:w="453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593" w:type="dxa"/>
            <w:tcBorders/>
            <w:vAlign w:val="center"/>
          </w:tcPr>
          <w:p>
            <w:pPr>
              <w:pStyle w:val="TableContents"/>
              <w:bidi w:val="0"/>
              <w:spacing w:before="0" w:after="283"/>
              <w:jc w:val="left"/>
              <w:rPr>
                <w:sz w:val="4"/>
                <w:szCs w:val="4"/>
              </w:rPr>
            </w:pPr>
            <w:r>
              <w:rPr>
                <w:sz w:val="4"/>
                <w:szCs w:val="4"/>
              </w:rPr>
            </w:r>
          </w:p>
        </w:tc>
      </w:tr>
      <w:tr>
        <w:trPr/>
        <w:tc>
          <w:tcPr>
            <w:tcW w:w="4531"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059"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IQM QUANTUM COMPUTERS OYJ</w:t>
            </w:r>
          </w:p>
        </w:tc>
      </w:tr>
      <w:tr>
        <w:trPr>
          <w:trHeight w:val="240" w:hRule="atLeast"/>
        </w:trPr>
        <w:tc>
          <w:tcPr>
            <w:tcW w:w="4531" w:type="dxa"/>
            <w:tcBorders/>
            <w:vAlign w:val="center"/>
          </w:tcPr>
          <w:p>
            <w:pPr>
              <w:pStyle w:val="TableContents"/>
              <w:bidi w:val="0"/>
              <w:spacing w:before="0" w:after="283"/>
              <w:jc w:val="left"/>
              <w:rPr>
                <w:sz w:val="4"/>
                <w:szCs w:val="4"/>
              </w:rPr>
            </w:pPr>
            <w:r>
              <w:rPr>
                <w:sz w:val="4"/>
                <w:szCs w:val="4"/>
              </w:rPr>
            </w:r>
          </w:p>
        </w:tc>
        <w:tc>
          <w:tcPr>
            <w:tcW w:w="506" w:type="dxa"/>
            <w:gridSpan w:val="2"/>
            <w:tcBorders/>
            <w:vAlign w:val="center"/>
          </w:tcPr>
          <w:p>
            <w:pPr>
              <w:pStyle w:val="TableContents"/>
              <w:bidi w:val="0"/>
              <w:spacing w:before="0" w:after="283"/>
              <w:jc w:val="left"/>
              <w:rPr>
                <w:sz w:val="4"/>
                <w:szCs w:val="4"/>
              </w:rPr>
            </w:pPr>
            <w:r>
              <w:rPr>
                <w:sz w:val="4"/>
                <w:szCs w:val="4"/>
              </w:rPr>
            </w:r>
          </w:p>
        </w:tc>
        <w:tc>
          <w:tcPr>
            <w:tcW w:w="466" w:type="dxa"/>
            <w:gridSpan w:val="2"/>
            <w:tcBorders/>
            <w:vAlign w:val="center"/>
          </w:tcPr>
          <w:p>
            <w:pPr>
              <w:pStyle w:val="TableContents"/>
              <w:bidi w:val="0"/>
              <w:spacing w:before="0" w:after="283"/>
              <w:jc w:val="left"/>
              <w:rPr>
                <w:sz w:val="4"/>
                <w:szCs w:val="4"/>
              </w:rPr>
            </w:pPr>
            <w:r>
              <w:rPr>
                <w:sz w:val="4"/>
                <w:szCs w:val="4"/>
              </w:rPr>
            </w:r>
          </w:p>
        </w:tc>
        <w:tc>
          <w:tcPr>
            <w:tcW w:w="4702" w:type="dxa"/>
            <w:gridSpan w:val="2"/>
            <w:tcBorders/>
            <w:vAlign w:val="center"/>
          </w:tcPr>
          <w:p>
            <w:pPr>
              <w:pStyle w:val="TableContents"/>
              <w:bidi w:val="0"/>
              <w:spacing w:before="0" w:after="283"/>
              <w:jc w:val="left"/>
              <w:rPr>
                <w:sz w:val="4"/>
                <w:szCs w:val="4"/>
              </w:rPr>
            </w:pPr>
            <w:r>
              <w:rPr>
                <w:sz w:val="4"/>
                <w:szCs w:val="4"/>
              </w:rPr>
            </w:r>
          </w:p>
        </w:tc>
      </w:tr>
      <w:tr>
        <w:trPr/>
        <w:tc>
          <w:tcPr>
            <w:tcW w:w="4531" w:type="dxa"/>
            <w:tcBorders/>
          </w:tcPr>
          <w:p>
            <w:pPr>
              <w:pStyle w:val="TableContents"/>
              <w:bidi w:val="0"/>
              <w:spacing w:before="0" w:after="283"/>
              <w:jc w:val="left"/>
              <w:rPr/>
            </w:pPr>
            <w:r>
              <w:rPr/>
              <w:t>Date: July 16, 2026</w:t>
            </w:r>
          </w:p>
        </w:tc>
        <w:tc>
          <w:tcPr>
            <w:tcW w:w="109" w:type="dxa"/>
            <w:tcBorders/>
            <w:vAlign w:val="bottom"/>
          </w:tcPr>
          <w:p>
            <w:pPr>
              <w:pStyle w:val="TableContents"/>
              <w:bidi w:val="0"/>
              <w:spacing w:before="0" w:after="283"/>
              <w:jc w:val="left"/>
              <w:rPr/>
            </w:pPr>
            <w:r>
              <w:rPr/>
              <w:t> </w:t>
            </w:r>
          </w:p>
        </w:tc>
        <w:tc>
          <w:tcPr>
            <w:tcW w:w="397"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57" w:type="dxa"/>
            <w:tcBorders/>
          </w:tcPr>
          <w:p>
            <w:pPr>
              <w:pStyle w:val="TableContents"/>
              <w:bidi w:val="0"/>
              <w:spacing w:before="0" w:after="283"/>
              <w:jc w:val="left"/>
              <w:rPr/>
            </w:pPr>
            <w:r>
              <w:rPr/>
              <w:t>By:</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4593" w:type="dxa"/>
            <w:tcBorders>
              <w:bottom w:val="single" w:sz="2" w:space="0" w:color="000000"/>
            </w:tcBorders>
            <w:tcMar>
              <w:bottom w:w="28" w:type="dxa"/>
            </w:tcMar>
          </w:tcPr>
          <w:p>
            <w:pPr>
              <w:pStyle w:val="TableContents"/>
              <w:bidi w:val="0"/>
              <w:spacing w:before="0" w:after="283"/>
              <w:jc w:val="left"/>
              <w:rPr/>
            </w:pPr>
            <w:r>
              <w:rPr/>
              <w:t>/s/ Jan Goetz</w:t>
            </w:r>
          </w:p>
        </w:tc>
      </w:tr>
      <w:tr>
        <w:trPr/>
        <w:tc>
          <w:tcPr>
            <w:tcW w:w="4531"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5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Jan Goetz</w:t>
            </w:r>
          </w:p>
        </w:tc>
      </w:tr>
      <w:tr>
        <w:trPr/>
        <w:tc>
          <w:tcPr>
            <w:tcW w:w="4531"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5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bl>
    <w:p>
      <w:pPr>
        <w:pStyle w:val="TextBody"/>
        <w:bidi w:val="0"/>
        <w:spacing w:before="0" w:after="0"/>
        <w:jc w:val="right"/>
        <w:rPr>
          <w:rFonts w:ascii="Times New Roman" w:hAnsi="Times New Roman"/>
          <w:b/>
          <w:sz w:val="20"/>
        </w:rPr>
      </w:pPr>
      <w:bookmarkStart w:id="2" w:name="d132146dex991.htm"/>
      <w:bookmarkStart w:id="3" w:name="ksd132146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Plc </w:t>
      </w:r>
    </w:p>
    <w:p>
      <w:pPr>
        <w:pStyle w:val="TextBody"/>
        <w:bidi w:val="0"/>
        <w:spacing w:before="0" w:after="0"/>
        <w:jc w:val="left"/>
        <w:rPr>
          <w:rFonts w:ascii="Times New Roman" w:hAnsi="Times New Roman"/>
          <w:sz w:val="20"/>
        </w:rPr>
      </w:pPr>
      <w:r>
        <w:rPr>
          <w:rFonts w:ascii="Times New Roman" w:hAnsi="Times New Roman"/>
          <w:sz w:val="20"/>
        </w:rPr>
        <w:t xml:space="preserve">Managers’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IQM Quantum Computers Plc – Managers’ Transactions – Barbara Venneman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Plc, managers’ transactions, July 14, 2026 at 12:15 (EEST)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Oyj – Managers’ Transactions </w:t>
      </w:r>
    </w:p>
    <w:p>
      <w:pPr>
        <w:pStyle w:val="TextBody"/>
        <w:bidi w:val="0"/>
        <w:spacing w:before="240" w:after="0"/>
        <w:jc w:val="left"/>
        <w:rPr>
          <w:rFonts w:ascii="Times New Roman" w:hAnsi="Times New Roman"/>
          <w:sz w:val="20"/>
        </w:rPr>
      </w:pPr>
      <w:r>
        <w:rPr>
          <w:rFonts w:ascii="Times New Roman" w:hAnsi="Times New Roman"/>
          <w:sz w:val="20"/>
        </w:rPr>
        <w:t xml:space="preserve">Person subject to the notification requirement </w:t>
      </w:r>
    </w:p>
    <w:p>
      <w:pPr>
        <w:pStyle w:val="TextBody"/>
        <w:bidi w:val="0"/>
        <w:spacing w:before="240" w:after="0"/>
        <w:jc w:val="left"/>
        <w:rPr>
          <w:rFonts w:ascii="Times New Roman" w:hAnsi="Times New Roman"/>
          <w:sz w:val="20"/>
        </w:rPr>
      </w:pPr>
      <w:r>
        <w:rPr>
          <w:rFonts w:ascii="Times New Roman" w:hAnsi="Times New Roman"/>
          <w:sz w:val="20"/>
        </w:rPr>
        <w:t xml:space="preserve">Name: Barbara Venneman </w:t>
      </w:r>
    </w:p>
    <w:p>
      <w:pPr>
        <w:pStyle w:val="TextBody"/>
        <w:bidi w:val="0"/>
        <w:spacing w:before="240" w:after="0"/>
        <w:jc w:val="left"/>
        <w:rPr>
          <w:rFonts w:ascii="Times New Roman" w:hAnsi="Times New Roman"/>
          <w:sz w:val="20"/>
        </w:rPr>
      </w:pPr>
      <w:r>
        <w:rPr>
          <w:rFonts w:ascii="Times New Roman" w:hAnsi="Times New Roman"/>
          <w:sz w:val="20"/>
        </w:rPr>
        <w:t xml:space="preserve">Position: Member of the Board/Deputy member </w:t>
      </w:r>
    </w:p>
    <w:p>
      <w:pPr>
        <w:pStyle w:val="TextBody"/>
        <w:bidi w:val="0"/>
        <w:spacing w:before="240" w:after="0"/>
        <w:jc w:val="left"/>
        <w:rPr>
          <w:rFonts w:ascii="Times New Roman" w:hAnsi="Times New Roman"/>
          <w:sz w:val="20"/>
        </w:rPr>
      </w:pPr>
      <w:r>
        <w:rPr>
          <w:rFonts w:ascii="Times New Roman" w:hAnsi="Times New Roman"/>
          <w:sz w:val="20"/>
        </w:rPr>
        <w:t xml:space="preserve">Issuer: IQM Quantum Computers Oyj </w:t>
      </w:r>
    </w:p>
    <w:p>
      <w:pPr>
        <w:pStyle w:val="TextBody"/>
        <w:bidi w:val="0"/>
        <w:spacing w:before="240" w:after="0"/>
        <w:jc w:val="left"/>
        <w:rPr>
          <w:rFonts w:ascii="Times New Roman" w:hAnsi="Times New Roman"/>
          <w:sz w:val="20"/>
        </w:rPr>
      </w:pPr>
      <w:r>
        <w:rPr>
          <w:rFonts w:ascii="Times New Roman" w:hAnsi="Times New Roman"/>
          <w:sz w:val="20"/>
        </w:rPr>
        <w:t xml:space="preserve">LEI: 743700MUXIBO64XQUT02 </w:t>
      </w:r>
    </w:p>
    <w:p>
      <w:pPr>
        <w:pStyle w:val="TextBody"/>
        <w:bidi w:val="0"/>
        <w:spacing w:before="240" w:after="0"/>
        <w:jc w:val="left"/>
        <w:rPr>
          <w:rFonts w:ascii="Times New Roman" w:hAnsi="Times New Roman"/>
          <w:sz w:val="20"/>
        </w:rPr>
      </w:pPr>
      <w:r>
        <w:rPr>
          <w:rFonts w:ascii="Times New Roman" w:hAnsi="Times New Roman"/>
          <w:sz w:val="20"/>
        </w:rPr>
        <w:t xml:space="preserve">Notification type: INITIAL NOTIFICATION </w:t>
      </w:r>
    </w:p>
    <w:p>
      <w:pPr>
        <w:pStyle w:val="TextBody"/>
        <w:bidi w:val="0"/>
        <w:spacing w:before="240" w:after="0"/>
        <w:jc w:val="left"/>
        <w:rPr>
          <w:rFonts w:ascii="Times New Roman" w:hAnsi="Times New Roman"/>
          <w:sz w:val="20"/>
        </w:rPr>
      </w:pPr>
      <w:r>
        <w:rPr>
          <w:rFonts w:ascii="Times New Roman" w:hAnsi="Times New Roman"/>
          <w:sz w:val="20"/>
        </w:rPr>
        <w:t xml:space="preserve">Reference number: 166067/11/8 </w:t>
      </w:r>
    </w:p>
    <w:p>
      <w:pPr>
        <w:pStyle w:val="TextBody"/>
        <w:bidi w:val="0"/>
        <w:spacing w:before="240" w:after="0"/>
        <w:jc w:val="left"/>
        <w:rPr>
          <w:rFonts w:ascii="Times New Roman" w:hAnsi="Times New Roman"/>
          <w:sz w:val="20"/>
        </w:rPr>
      </w:pPr>
      <w:r>
        <w:rPr>
          <w:rFonts w:ascii="Times New Roman" w:hAnsi="Times New Roman"/>
          <w:sz w:val="20"/>
        </w:rPr>
        <w:t xml:space="preserve">Transaction date: 2026-07-09 </w:t>
      </w:r>
    </w:p>
    <w:p>
      <w:pPr>
        <w:pStyle w:val="TextBody"/>
        <w:bidi w:val="0"/>
        <w:spacing w:before="240" w:after="0"/>
        <w:jc w:val="left"/>
        <w:rPr>
          <w:rFonts w:ascii="Times New Roman" w:hAnsi="Times New Roman"/>
          <w:sz w:val="20"/>
        </w:rPr>
      </w:pPr>
      <w:r>
        <w:rPr>
          <w:rFonts w:ascii="Times New Roman" w:hAnsi="Times New Roman"/>
          <w:sz w:val="20"/>
        </w:rPr>
        <w:t xml:space="preserve">Outside a trading venue </w:t>
      </w:r>
    </w:p>
    <w:p>
      <w:pPr>
        <w:pStyle w:val="TextBody"/>
        <w:bidi w:val="0"/>
        <w:spacing w:before="240" w:after="0"/>
        <w:jc w:val="left"/>
        <w:rPr>
          <w:rFonts w:ascii="Times New Roman" w:hAnsi="Times New Roman"/>
          <w:sz w:val="20"/>
        </w:rPr>
      </w:pPr>
      <w:r>
        <w:rPr>
          <w:rFonts w:ascii="Times New Roman" w:hAnsi="Times New Roman"/>
          <w:sz w:val="20"/>
        </w:rPr>
        <w:t xml:space="preserve">Instrument type: SHARE </w:t>
      </w:r>
    </w:p>
    <w:p>
      <w:pPr>
        <w:pStyle w:val="TextBody"/>
        <w:bidi w:val="0"/>
        <w:spacing w:before="240" w:after="0"/>
        <w:jc w:val="left"/>
        <w:rPr>
          <w:rFonts w:ascii="Times New Roman" w:hAnsi="Times New Roman"/>
          <w:sz w:val="20"/>
        </w:rPr>
      </w:pPr>
      <w:r>
        <w:rPr>
          <w:rFonts w:ascii="Times New Roman" w:hAnsi="Times New Roman"/>
          <w:sz w:val="20"/>
        </w:rPr>
        <w:t xml:space="preserve">ISIN: FI4000602354 </w:t>
      </w:r>
    </w:p>
    <w:p>
      <w:pPr>
        <w:pStyle w:val="TextBody"/>
        <w:bidi w:val="0"/>
        <w:spacing w:before="240" w:after="0"/>
        <w:jc w:val="left"/>
        <w:rPr>
          <w:rFonts w:ascii="Times New Roman" w:hAnsi="Times New Roman"/>
          <w:sz w:val="20"/>
        </w:rPr>
      </w:pPr>
      <w:r>
        <w:rPr>
          <w:rFonts w:ascii="Times New Roman" w:hAnsi="Times New Roman"/>
          <w:sz w:val="20"/>
        </w:rPr>
        <w:t xml:space="preserve">Nature of transaction: RECEIPT OF A SHARE-BASED INCENTIVE </w:t>
      </w:r>
    </w:p>
    <w:p>
      <w:pPr>
        <w:pStyle w:val="TextBody"/>
        <w:bidi w:val="0"/>
        <w:spacing w:before="240" w:after="0"/>
        <w:jc w:val="left"/>
        <w:rPr>
          <w:rFonts w:ascii="Times New Roman" w:hAnsi="Times New Roman"/>
          <w:sz w:val="20"/>
        </w:rPr>
      </w:pPr>
      <w:r>
        <w:rPr>
          <w:rFonts w:ascii="Times New Roman" w:hAnsi="Times New Roman"/>
          <w:sz w:val="20"/>
        </w:rPr>
        <w:t xml:space="preserve">Transaction details </w:t>
      </w:r>
    </w:p>
    <w:p>
      <w:pPr>
        <w:pStyle w:val="TextBody"/>
        <w:bidi w:val="0"/>
        <w:spacing w:before="240" w:after="0"/>
        <w:jc w:val="left"/>
        <w:rPr>
          <w:rFonts w:ascii="Times New Roman" w:hAnsi="Times New Roman"/>
          <w:sz w:val="20"/>
        </w:rPr>
      </w:pPr>
      <w:r>
        <w:rPr>
          <w:rFonts w:ascii="Times New Roman" w:hAnsi="Times New Roman"/>
          <w:sz w:val="20"/>
        </w:rPr>
        <w:t xml:space="preserve">(1): Volume: 11383 Unit price: 0 EUR </w:t>
      </w:r>
    </w:p>
    <w:p>
      <w:pPr>
        <w:pStyle w:val="TextBody"/>
        <w:bidi w:val="0"/>
        <w:spacing w:before="240" w:after="0"/>
        <w:jc w:val="left"/>
        <w:rPr>
          <w:rFonts w:ascii="Times New Roman" w:hAnsi="Times New Roman"/>
          <w:sz w:val="20"/>
        </w:rPr>
      </w:pPr>
      <w:r>
        <w:rPr>
          <w:rFonts w:ascii="Times New Roman" w:hAnsi="Times New Roman"/>
          <w:sz w:val="20"/>
        </w:rPr>
        <w:t xml:space="preserve">Aggregated transactions (1): </w:t>
      </w:r>
    </w:p>
    <w:p>
      <w:pPr>
        <w:pStyle w:val="TextBody"/>
        <w:bidi w:val="0"/>
        <w:spacing w:before="240" w:after="0"/>
        <w:jc w:val="left"/>
        <w:rPr>
          <w:rFonts w:ascii="Times New Roman" w:hAnsi="Times New Roman"/>
          <w:sz w:val="20"/>
        </w:rPr>
      </w:pPr>
      <w:r>
        <w:rPr>
          <w:rFonts w:ascii="Times New Roman" w:hAnsi="Times New Roman"/>
          <w:sz w:val="20"/>
        </w:rPr>
        <w:t xml:space="preserve">Volume: 11383 Volume weighted average price: 0 EUR </w:t>
      </w:r>
    </w:p>
    <w:p>
      <w:pPr>
        <w:pStyle w:val="TextBody"/>
        <w:bidi w:val="0"/>
        <w:spacing w:before="360" w:after="0"/>
        <w:jc w:val="left"/>
        <w:rPr>
          <w:rFonts w:ascii="Times New Roman" w:hAnsi="Times New Roman"/>
          <w:b/>
          <w:sz w:val="20"/>
        </w:rPr>
      </w:pPr>
      <w:r>
        <w:rPr>
          <w:rFonts w:ascii="Times New Roman" w:hAnsi="Times New Roman"/>
          <w:b/>
          <w:sz w:val="20"/>
        </w:rPr>
        <w:t xml:space="preserve">For further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Blair Robertson, Vice President, Strategy &amp; Corporate Development </w:t>
      </w:r>
    </w:p>
    <w:p>
      <w:pPr>
        <w:pStyle w:val="TextBody"/>
        <w:bidi w:val="0"/>
        <w:spacing w:before="360" w:after="0"/>
        <w:jc w:val="left"/>
        <w:rPr>
          <w:rFonts w:ascii="Times New Roman" w:hAnsi="Times New Roman"/>
          <w:i/>
          <w:sz w:val="20"/>
        </w:rPr>
      </w:pPr>
      <w:r>
        <w:rPr>
          <w:rFonts w:ascii="Times New Roman" w:hAnsi="Times New Roman"/>
          <w:i/>
          <w:sz w:val="20"/>
        </w:rPr>
        <w:t xml:space="preserve">Investor Relations Officer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Investors@iqm.tech </w:t>
      </w:r>
    </w:p>
    <w:p>
      <w:pPr>
        <w:pStyle w:val="TextBody"/>
        <w:bidi w:val="0"/>
        <w:spacing w:before="360" w:after="0"/>
        <w:jc w:val="left"/>
        <w:rPr>
          <w:rFonts w:ascii="Times New Roman" w:hAnsi="Times New Roman"/>
          <w:b/>
          <w:sz w:val="20"/>
        </w:rPr>
      </w:pPr>
      <w:r>
        <w:rPr>
          <w:rFonts w:ascii="Times New Roman" w:hAnsi="Times New Roman"/>
          <w:b/>
          <w:sz w:val="20"/>
        </w:rPr>
        <w:t xml:space="preserve">About IQM Quantum Computers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(Nasdaq: IQMX) is a global leader in superconducting quantum computers, delivering full-stack quantum systems and cloud platform access to enterprises, research institutions, universities, high-performance computing centers, and national laboratories worldwide. IQM’s on-premises deployment model gives customers direct ownership and control of their quantum infrastructure. Founded in 2018 and headquartered in Finland, with major operations in Munich, IQM employs over 400 people and operates across Europe, Asia, and North America. IQM is the first publicly listed European quantum company on Nasdaq Stock Market. </w:t>
      </w:r>
    </w:p>
    <w:p>
      <w:pPr>
        <w:pStyle w:val="TextBody"/>
        <w:bidi w:val="0"/>
        <w:spacing w:before="0" w:after="0"/>
        <w:jc w:val="right"/>
        <w:rPr>
          <w:rFonts w:ascii="Times New Roman" w:hAnsi="Times New Roman"/>
          <w:b/>
          <w:sz w:val="20"/>
        </w:rPr>
      </w:pPr>
      <w:bookmarkStart w:id="4" w:name="d132146dex992.htm"/>
      <w:bookmarkStart w:id="5" w:name="ksd132146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IQM Quantum Computers Plc</w:t>
            </w:r>
          </w:p>
        </w:tc>
      </w:tr>
      <w:tr>
        <w:trPr/>
        <w:tc>
          <w:tcPr>
            <w:tcW w:w="10205" w:type="dxa"/>
            <w:tcBorders/>
          </w:tcPr>
          <w:p>
            <w:pPr>
              <w:pStyle w:val="TableContents"/>
              <w:bidi w:val="0"/>
              <w:spacing w:before="0" w:after="283"/>
              <w:jc w:val="left"/>
              <w:rPr/>
            </w:pPr>
            <w:r>
              <w:rPr/>
              <w:t>Managers’ transactions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IQM Quantum Computers Plc – Managers’ Transactions – Hannu Martola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Plc, managers’ transactions, July 14, 2026 at 12:15 (EEST)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Oyj – Managers’ Transactions </w:t>
      </w:r>
    </w:p>
    <w:p>
      <w:pPr>
        <w:pStyle w:val="TextBody"/>
        <w:bidi w:val="0"/>
        <w:spacing w:before="240" w:after="0"/>
        <w:jc w:val="left"/>
        <w:rPr>
          <w:rFonts w:ascii="Times New Roman" w:hAnsi="Times New Roman"/>
          <w:sz w:val="20"/>
        </w:rPr>
      </w:pPr>
      <w:r>
        <w:rPr>
          <w:rFonts w:ascii="Times New Roman" w:hAnsi="Times New Roman"/>
          <w:sz w:val="20"/>
        </w:rPr>
        <w:t xml:space="preserve">Person subject to the notification requirement </w:t>
      </w:r>
    </w:p>
    <w:p>
      <w:pPr>
        <w:pStyle w:val="TextBody"/>
        <w:bidi w:val="0"/>
        <w:spacing w:before="240" w:after="0"/>
        <w:jc w:val="left"/>
        <w:rPr>
          <w:rFonts w:ascii="Times New Roman" w:hAnsi="Times New Roman"/>
          <w:sz w:val="20"/>
        </w:rPr>
      </w:pPr>
      <w:r>
        <w:rPr>
          <w:rFonts w:ascii="Times New Roman" w:hAnsi="Times New Roman"/>
          <w:sz w:val="20"/>
        </w:rPr>
        <w:t xml:space="preserve">Name: Hannu Martola </w:t>
      </w:r>
    </w:p>
    <w:p>
      <w:pPr>
        <w:pStyle w:val="TextBody"/>
        <w:bidi w:val="0"/>
        <w:spacing w:before="240" w:after="0"/>
        <w:jc w:val="left"/>
        <w:rPr>
          <w:rFonts w:ascii="Times New Roman" w:hAnsi="Times New Roman"/>
          <w:sz w:val="20"/>
        </w:rPr>
      </w:pPr>
      <w:r>
        <w:rPr>
          <w:rFonts w:ascii="Times New Roman" w:hAnsi="Times New Roman"/>
          <w:sz w:val="20"/>
        </w:rPr>
        <w:t xml:space="preserve">Position: Member of the Board/Deputy member </w:t>
      </w:r>
    </w:p>
    <w:p>
      <w:pPr>
        <w:pStyle w:val="TextBody"/>
        <w:bidi w:val="0"/>
        <w:spacing w:before="240" w:after="0"/>
        <w:jc w:val="left"/>
        <w:rPr>
          <w:rFonts w:ascii="Times New Roman" w:hAnsi="Times New Roman"/>
          <w:sz w:val="20"/>
        </w:rPr>
      </w:pPr>
      <w:r>
        <w:rPr>
          <w:rFonts w:ascii="Times New Roman" w:hAnsi="Times New Roman"/>
          <w:sz w:val="20"/>
        </w:rPr>
        <w:t xml:space="preserve">Issuer: IQM Quantum Computers Oyj </w:t>
      </w:r>
    </w:p>
    <w:p>
      <w:pPr>
        <w:pStyle w:val="TextBody"/>
        <w:bidi w:val="0"/>
        <w:spacing w:before="240" w:after="0"/>
        <w:jc w:val="left"/>
        <w:rPr>
          <w:rFonts w:ascii="Times New Roman" w:hAnsi="Times New Roman"/>
          <w:sz w:val="20"/>
        </w:rPr>
      </w:pPr>
      <w:r>
        <w:rPr>
          <w:rFonts w:ascii="Times New Roman" w:hAnsi="Times New Roman"/>
          <w:sz w:val="20"/>
        </w:rPr>
        <w:t xml:space="preserve">LEI: 743700MUXIBO64XQUT02 </w:t>
      </w:r>
    </w:p>
    <w:p>
      <w:pPr>
        <w:pStyle w:val="TextBody"/>
        <w:bidi w:val="0"/>
        <w:spacing w:before="240" w:after="0"/>
        <w:jc w:val="left"/>
        <w:rPr>
          <w:rFonts w:ascii="Times New Roman" w:hAnsi="Times New Roman"/>
          <w:sz w:val="20"/>
        </w:rPr>
      </w:pPr>
      <w:r>
        <w:rPr>
          <w:rFonts w:ascii="Times New Roman" w:hAnsi="Times New Roman"/>
          <w:sz w:val="20"/>
        </w:rPr>
        <w:t xml:space="preserve">Notification type: INITIAL NOTIFICATION </w:t>
      </w:r>
    </w:p>
    <w:p>
      <w:pPr>
        <w:pStyle w:val="TextBody"/>
        <w:bidi w:val="0"/>
        <w:spacing w:before="240" w:after="0"/>
        <w:jc w:val="left"/>
        <w:rPr>
          <w:rFonts w:ascii="Times New Roman" w:hAnsi="Times New Roman"/>
          <w:sz w:val="20"/>
        </w:rPr>
      </w:pPr>
      <w:r>
        <w:rPr>
          <w:rFonts w:ascii="Times New Roman" w:hAnsi="Times New Roman"/>
          <w:sz w:val="20"/>
        </w:rPr>
        <w:t xml:space="preserve">Reference number: 166064/8/8 </w:t>
      </w:r>
    </w:p>
    <w:p>
      <w:pPr>
        <w:pStyle w:val="TextBody"/>
        <w:bidi w:val="0"/>
        <w:spacing w:before="240" w:after="0"/>
        <w:jc w:val="left"/>
        <w:rPr>
          <w:rFonts w:ascii="Times New Roman" w:hAnsi="Times New Roman"/>
          <w:sz w:val="20"/>
        </w:rPr>
      </w:pPr>
      <w:r>
        <w:rPr>
          <w:rFonts w:ascii="Times New Roman" w:hAnsi="Times New Roman"/>
          <w:sz w:val="20"/>
        </w:rPr>
        <w:t xml:space="preserve">Transaction date: 2026-07-09 </w:t>
      </w:r>
    </w:p>
    <w:p>
      <w:pPr>
        <w:pStyle w:val="TextBody"/>
        <w:bidi w:val="0"/>
        <w:spacing w:before="240" w:after="0"/>
        <w:jc w:val="left"/>
        <w:rPr>
          <w:rFonts w:ascii="Times New Roman" w:hAnsi="Times New Roman"/>
          <w:sz w:val="20"/>
        </w:rPr>
      </w:pPr>
      <w:r>
        <w:rPr>
          <w:rFonts w:ascii="Times New Roman" w:hAnsi="Times New Roman"/>
          <w:sz w:val="20"/>
        </w:rPr>
        <w:t xml:space="preserve">Outside a trading venue </w:t>
      </w:r>
    </w:p>
    <w:p>
      <w:pPr>
        <w:pStyle w:val="TextBody"/>
        <w:bidi w:val="0"/>
        <w:spacing w:before="240" w:after="0"/>
        <w:jc w:val="left"/>
        <w:rPr>
          <w:rFonts w:ascii="Times New Roman" w:hAnsi="Times New Roman"/>
          <w:sz w:val="20"/>
        </w:rPr>
      </w:pPr>
      <w:r>
        <w:rPr>
          <w:rFonts w:ascii="Times New Roman" w:hAnsi="Times New Roman"/>
          <w:sz w:val="20"/>
        </w:rPr>
        <w:t xml:space="preserve">Instrument type: SHARE </w:t>
      </w:r>
    </w:p>
    <w:p>
      <w:pPr>
        <w:pStyle w:val="TextBody"/>
        <w:bidi w:val="0"/>
        <w:spacing w:before="240" w:after="0"/>
        <w:jc w:val="left"/>
        <w:rPr>
          <w:rFonts w:ascii="Times New Roman" w:hAnsi="Times New Roman"/>
          <w:sz w:val="20"/>
        </w:rPr>
      </w:pPr>
      <w:r>
        <w:rPr>
          <w:rFonts w:ascii="Times New Roman" w:hAnsi="Times New Roman"/>
          <w:sz w:val="20"/>
        </w:rPr>
        <w:t xml:space="preserve">ISIN: FI4000602354 </w:t>
      </w:r>
    </w:p>
    <w:p>
      <w:pPr>
        <w:pStyle w:val="TextBody"/>
        <w:bidi w:val="0"/>
        <w:spacing w:before="240" w:after="0"/>
        <w:jc w:val="left"/>
        <w:rPr>
          <w:rFonts w:ascii="Times New Roman" w:hAnsi="Times New Roman"/>
          <w:sz w:val="20"/>
        </w:rPr>
      </w:pPr>
      <w:r>
        <w:rPr>
          <w:rFonts w:ascii="Times New Roman" w:hAnsi="Times New Roman"/>
          <w:sz w:val="20"/>
        </w:rPr>
        <w:t xml:space="preserve">Nature of transaction: RECEIPT OF A SHARE-BASED INCENTIVE </w:t>
      </w:r>
    </w:p>
    <w:p>
      <w:pPr>
        <w:pStyle w:val="TextBody"/>
        <w:bidi w:val="0"/>
        <w:spacing w:before="240" w:after="0"/>
        <w:jc w:val="left"/>
        <w:rPr>
          <w:rFonts w:ascii="Times New Roman" w:hAnsi="Times New Roman"/>
          <w:sz w:val="20"/>
        </w:rPr>
      </w:pPr>
      <w:r>
        <w:rPr>
          <w:rFonts w:ascii="Times New Roman" w:hAnsi="Times New Roman"/>
          <w:sz w:val="20"/>
        </w:rPr>
        <w:t xml:space="preserve">Transaction details </w:t>
      </w:r>
    </w:p>
    <w:p>
      <w:pPr>
        <w:pStyle w:val="TextBody"/>
        <w:bidi w:val="0"/>
        <w:spacing w:before="240" w:after="0"/>
        <w:jc w:val="left"/>
        <w:rPr>
          <w:rFonts w:ascii="Times New Roman" w:hAnsi="Times New Roman"/>
          <w:sz w:val="20"/>
        </w:rPr>
      </w:pPr>
      <w:r>
        <w:rPr>
          <w:rFonts w:ascii="Times New Roman" w:hAnsi="Times New Roman"/>
          <w:sz w:val="20"/>
        </w:rPr>
        <w:t xml:space="preserve">(1): Volume: 11383 Unit price: 0 EUR </w:t>
      </w:r>
    </w:p>
    <w:p>
      <w:pPr>
        <w:pStyle w:val="TextBody"/>
        <w:bidi w:val="0"/>
        <w:spacing w:before="240" w:after="0"/>
        <w:jc w:val="left"/>
        <w:rPr>
          <w:rFonts w:ascii="Times New Roman" w:hAnsi="Times New Roman"/>
          <w:sz w:val="20"/>
        </w:rPr>
      </w:pPr>
      <w:r>
        <w:rPr>
          <w:rFonts w:ascii="Times New Roman" w:hAnsi="Times New Roman"/>
          <w:sz w:val="20"/>
        </w:rPr>
        <w:t xml:space="preserve">Aggregated transactions (1): </w:t>
      </w:r>
    </w:p>
    <w:p>
      <w:pPr>
        <w:pStyle w:val="TextBody"/>
        <w:bidi w:val="0"/>
        <w:spacing w:before="240" w:after="0"/>
        <w:jc w:val="left"/>
        <w:rPr>
          <w:rFonts w:ascii="Times New Roman" w:hAnsi="Times New Roman"/>
          <w:sz w:val="20"/>
        </w:rPr>
      </w:pPr>
      <w:r>
        <w:rPr>
          <w:rFonts w:ascii="Times New Roman" w:hAnsi="Times New Roman"/>
          <w:sz w:val="20"/>
        </w:rPr>
        <w:t xml:space="preserve">Volume: 11383 Volume weighted average price: 0 EUR </w:t>
      </w:r>
    </w:p>
    <w:p>
      <w:pPr>
        <w:pStyle w:val="TextBody"/>
        <w:bidi w:val="0"/>
        <w:spacing w:before="360" w:after="0"/>
        <w:jc w:val="left"/>
        <w:rPr>
          <w:rFonts w:ascii="Times New Roman" w:hAnsi="Times New Roman"/>
          <w:b/>
          <w:sz w:val="20"/>
        </w:rPr>
      </w:pPr>
      <w:r>
        <w:rPr>
          <w:rFonts w:ascii="Times New Roman" w:hAnsi="Times New Roman"/>
          <w:b/>
          <w:sz w:val="20"/>
        </w:rPr>
        <w:t xml:space="preserve">For further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Blair Robertson, Vice President, Strategy &amp; Corporate Development </w:t>
      </w:r>
    </w:p>
    <w:p>
      <w:pPr>
        <w:pStyle w:val="TextBody"/>
        <w:bidi w:val="0"/>
        <w:spacing w:before="360" w:after="0"/>
        <w:jc w:val="left"/>
        <w:rPr>
          <w:rFonts w:ascii="Times New Roman" w:hAnsi="Times New Roman"/>
          <w:i/>
          <w:sz w:val="20"/>
        </w:rPr>
      </w:pPr>
      <w:r>
        <w:rPr>
          <w:rFonts w:ascii="Times New Roman" w:hAnsi="Times New Roman"/>
          <w:i/>
          <w:sz w:val="20"/>
        </w:rPr>
        <w:t xml:space="preserve">Investor Relations Officer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Investors@iqm.tech </w:t>
      </w:r>
    </w:p>
    <w:p>
      <w:pPr>
        <w:pStyle w:val="TextBody"/>
        <w:bidi w:val="0"/>
        <w:spacing w:before="360" w:after="0"/>
        <w:jc w:val="left"/>
        <w:rPr>
          <w:rFonts w:ascii="Times New Roman" w:hAnsi="Times New Roman"/>
          <w:b/>
          <w:sz w:val="20"/>
        </w:rPr>
      </w:pPr>
      <w:r>
        <w:rPr>
          <w:rFonts w:ascii="Times New Roman" w:hAnsi="Times New Roman"/>
          <w:b/>
          <w:sz w:val="20"/>
        </w:rPr>
        <w:t xml:space="preserve">About IQM Quantum Computers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(Nasdaq: IQMX) is a global leader in superconducting quantum computers, delivering full-stack quantum systems and cloud platform access to enterprises, research institutions, universities, high-performance computing centers, and national laboratories worldwide. IQM’s on-premises deployment model gives customers direct ownership and control of their quantum infrastructure. Founded in 2018 and headquartered in Finland, with major operations in Munich, IQM employs over 400 people and operates across Europe, Asia, and North America. IQM is the first publicly listed European quantum company on Nasdaq Stock Market. </w:t>
      </w:r>
    </w:p>
    <w:p>
      <w:pPr>
        <w:pStyle w:val="TextBody"/>
        <w:bidi w:val="0"/>
        <w:spacing w:before="0" w:after="0"/>
        <w:jc w:val="right"/>
        <w:rPr>
          <w:rFonts w:ascii="Times New Roman" w:hAnsi="Times New Roman"/>
          <w:b/>
          <w:sz w:val="20"/>
        </w:rPr>
      </w:pPr>
      <w:bookmarkStart w:id="6" w:name="d132146dex993.htm"/>
      <w:bookmarkStart w:id="7" w:name="ksd132146dex993"/>
      <w:bookmarkEnd w:id="6"/>
      <w:bookmarkEnd w:id="7"/>
      <w:r>
        <w:rPr>
          <w:rFonts w:ascii="Times New Roman" w:hAnsi="Times New Roman"/>
          <w:b/>
          <w:sz w:val="20"/>
        </w:rPr>
        <w:t xml:space="preserve">Exhibit 99.3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IQM Quantum Computers Plc</w:t>
            </w:r>
          </w:p>
        </w:tc>
      </w:tr>
      <w:tr>
        <w:trPr/>
        <w:tc>
          <w:tcPr>
            <w:tcW w:w="10205" w:type="dxa"/>
            <w:tcBorders/>
          </w:tcPr>
          <w:p>
            <w:pPr>
              <w:pStyle w:val="TableContents"/>
              <w:bidi w:val="0"/>
              <w:spacing w:before="0" w:after="283"/>
              <w:jc w:val="left"/>
              <w:rPr/>
            </w:pPr>
            <w:r>
              <w:rPr/>
              <w:t>Managers’ transactions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IQM Quantum Computers Plc – Managers’ Transactions – Sierk Pötting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Plc, managers’ transactions, July 14, 2026 at 12:15 (EEST)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Oyj – Managers’ Transactions </w:t>
      </w:r>
    </w:p>
    <w:p>
      <w:pPr>
        <w:pStyle w:val="TextBody"/>
        <w:bidi w:val="0"/>
        <w:spacing w:before="240" w:after="0"/>
        <w:jc w:val="left"/>
        <w:rPr>
          <w:rFonts w:ascii="Times New Roman" w:hAnsi="Times New Roman"/>
          <w:sz w:val="20"/>
        </w:rPr>
      </w:pPr>
      <w:r>
        <w:rPr>
          <w:rFonts w:ascii="Times New Roman" w:hAnsi="Times New Roman"/>
          <w:sz w:val="20"/>
        </w:rPr>
        <w:t xml:space="preserve">Person subject to the notification requirement </w:t>
      </w:r>
    </w:p>
    <w:p>
      <w:pPr>
        <w:pStyle w:val="TextBody"/>
        <w:bidi w:val="0"/>
        <w:spacing w:before="240" w:after="0"/>
        <w:jc w:val="left"/>
        <w:rPr>
          <w:rFonts w:ascii="Times New Roman" w:hAnsi="Times New Roman"/>
          <w:sz w:val="20"/>
        </w:rPr>
      </w:pPr>
      <w:r>
        <w:rPr>
          <w:rFonts w:ascii="Times New Roman" w:hAnsi="Times New Roman"/>
          <w:sz w:val="20"/>
        </w:rPr>
        <w:t xml:space="preserve">Name: Sierk Pötting </w:t>
      </w:r>
    </w:p>
    <w:p>
      <w:pPr>
        <w:pStyle w:val="TextBody"/>
        <w:bidi w:val="0"/>
        <w:spacing w:before="240" w:after="0"/>
        <w:jc w:val="left"/>
        <w:rPr>
          <w:rFonts w:ascii="Times New Roman" w:hAnsi="Times New Roman"/>
          <w:sz w:val="20"/>
        </w:rPr>
      </w:pPr>
      <w:r>
        <w:rPr>
          <w:rFonts w:ascii="Times New Roman" w:hAnsi="Times New Roman"/>
          <w:sz w:val="20"/>
        </w:rPr>
        <w:t xml:space="preserve">Position: Member of the Board/Deputy member </w:t>
      </w:r>
    </w:p>
    <w:p>
      <w:pPr>
        <w:pStyle w:val="TextBody"/>
        <w:bidi w:val="0"/>
        <w:spacing w:before="240" w:after="0"/>
        <w:jc w:val="left"/>
        <w:rPr>
          <w:rFonts w:ascii="Times New Roman" w:hAnsi="Times New Roman"/>
          <w:sz w:val="20"/>
        </w:rPr>
      </w:pPr>
      <w:r>
        <w:rPr>
          <w:rFonts w:ascii="Times New Roman" w:hAnsi="Times New Roman"/>
          <w:sz w:val="20"/>
        </w:rPr>
        <w:t xml:space="preserve">Issuer: IQM Quantum Computers Oyj </w:t>
      </w:r>
    </w:p>
    <w:p>
      <w:pPr>
        <w:pStyle w:val="TextBody"/>
        <w:bidi w:val="0"/>
        <w:spacing w:before="240" w:after="0"/>
        <w:jc w:val="left"/>
        <w:rPr>
          <w:rFonts w:ascii="Times New Roman" w:hAnsi="Times New Roman"/>
          <w:sz w:val="20"/>
        </w:rPr>
      </w:pPr>
      <w:r>
        <w:rPr>
          <w:rFonts w:ascii="Times New Roman" w:hAnsi="Times New Roman"/>
          <w:sz w:val="20"/>
        </w:rPr>
        <w:t xml:space="preserve">LEI: 743700MUXIBO64XQUT02 </w:t>
      </w:r>
    </w:p>
    <w:p>
      <w:pPr>
        <w:pStyle w:val="TextBody"/>
        <w:bidi w:val="0"/>
        <w:spacing w:before="240" w:after="0"/>
        <w:jc w:val="left"/>
        <w:rPr>
          <w:rFonts w:ascii="Times New Roman" w:hAnsi="Times New Roman"/>
          <w:sz w:val="20"/>
        </w:rPr>
      </w:pPr>
      <w:r>
        <w:rPr>
          <w:rFonts w:ascii="Times New Roman" w:hAnsi="Times New Roman"/>
          <w:sz w:val="20"/>
        </w:rPr>
        <w:t xml:space="preserve">Notification type: INITIAL NOTIFICATION </w:t>
      </w:r>
    </w:p>
    <w:p>
      <w:pPr>
        <w:pStyle w:val="TextBody"/>
        <w:bidi w:val="0"/>
        <w:spacing w:before="240" w:after="0"/>
        <w:jc w:val="left"/>
        <w:rPr>
          <w:rFonts w:ascii="Times New Roman" w:hAnsi="Times New Roman"/>
          <w:sz w:val="20"/>
        </w:rPr>
      </w:pPr>
      <w:r>
        <w:rPr>
          <w:rFonts w:ascii="Times New Roman" w:hAnsi="Times New Roman"/>
          <w:sz w:val="20"/>
        </w:rPr>
        <w:t xml:space="preserve">Reference number: 166058/8/8 </w:t>
      </w:r>
    </w:p>
    <w:p>
      <w:pPr>
        <w:pStyle w:val="TextBody"/>
        <w:bidi w:val="0"/>
        <w:spacing w:before="240" w:after="0"/>
        <w:jc w:val="left"/>
        <w:rPr>
          <w:rFonts w:ascii="Times New Roman" w:hAnsi="Times New Roman"/>
          <w:sz w:val="20"/>
        </w:rPr>
      </w:pPr>
      <w:r>
        <w:rPr>
          <w:rFonts w:ascii="Times New Roman" w:hAnsi="Times New Roman"/>
          <w:sz w:val="20"/>
        </w:rPr>
        <w:t xml:space="preserve">Transaction date: 2026-07-09 </w:t>
      </w:r>
    </w:p>
    <w:p>
      <w:pPr>
        <w:pStyle w:val="TextBody"/>
        <w:bidi w:val="0"/>
        <w:spacing w:before="240" w:after="0"/>
        <w:jc w:val="left"/>
        <w:rPr>
          <w:rFonts w:ascii="Times New Roman" w:hAnsi="Times New Roman"/>
          <w:sz w:val="20"/>
        </w:rPr>
      </w:pPr>
      <w:r>
        <w:rPr>
          <w:rFonts w:ascii="Times New Roman" w:hAnsi="Times New Roman"/>
          <w:sz w:val="20"/>
        </w:rPr>
        <w:t xml:space="preserve">Outside a trading venue </w:t>
      </w:r>
    </w:p>
    <w:p>
      <w:pPr>
        <w:pStyle w:val="TextBody"/>
        <w:bidi w:val="0"/>
        <w:spacing w:before="240" w:after="0"/>
        <w:jc w:val="left"/>
        <w:rPr>
          <w:rFonts w:ascii="Times New Roman" w:hAnsi="Times New Roman"/>
          <w:sz w:val="20"/>
        </w:rPr>
      </w:pPr>
      <w:r>
        <w:rPr>
          <w:rFonts w:ascii="Times New Roman" w:hAnsi="Times New Roman"/>
          <w:sz w:val="20"/>
        </w:rPr>
        <w:t xml:space="preserve">Instrument type: SHARE </w:t>
      </w:r>
    </w:p>
    <w:p>
      <w:pPr>
        <w:pStyle w:val="TextBody"/>
        <w:bidi w:val="0"/>
        <w:spacing w:before="240" w:after="0"/>
        <w:jc w:val="left"/>
        <w:rPr>
          <w:rFonts w:ascii="Times New Roman" w:hAnsi="Times New Roman"/>
          <w:sz w:val="20"/>
        </w:rPr>
      </w:pPr>
      <w:r>
        <w:rPr>
          <w:rFonts w:ascii="Times New Roman" w:hAnsi="Times New Roman"/>
          <w:sz w:val="20"/>
        </w:rPr>
        <w:t xml:space="preserve">ISIN: FI4000602354 </w:t>
      </w:r>
    </w:p>
    <w:p>
      <w:pPr>
        <w:pStyle w:val="TextBody"/>
        <w:bidi w:val="0"/>
        <w:spacing w:before="240" w:after="0"/>
        <w:jc w:val="left"/>
        <w:rPr>
          <w:rFonts w:ascii="Times New Roman" w:hAnsi="Times New Roman"/>
          <w:sz w:val="20"/>
        </w:rPr>
      </w:pPr>
      <w:r>
        <w:rPr>
          <w:rFonts w:ascii="Times New Roman" w:hAnsi="Times New Roman"/>
          <w:sz w:val="20"/>
        </w:rPr>
        <w:t xml:space="preserve">Nature of transaction: RECEIPT OF A SHARE-BASED INCENTIVE </w:t>
      </w:r>
    </w:p>
    <w:p>
      <w:pPr>
        <w:pStyle w:val="TextBody"/>
        <w:bidi w:val="0"/>
        <w:spacing w:before="240" w:after="0"/>
        <w:jc w:val="left"/>
        <w:rPr>
          <w:rFonts w:ascii="Times New Roman" w:hAnsi="Times New Roman"/>
          <w:sz w:val="20"/>
        </w:rPr>
      </w:pPr>
      <w:r>
        <w:rPr>
          <w:rFonts w:ascii="Times New Roman" w:hAnsi="Times New Roman"/>
          <w:sz w:val="20"/>
        </w:rPr>
        <w:t xml:space="preserve">Transaction details </w:t>
      </w:r>
    </w:p>
    <w:p>
      <w:pPr>
        <w:pStyle w:val="TextBody"/>
        <w:bidi w:val="0"/>
        <w:spacing w:before="240" w:after="0"/>
        <w:jc w:val="left"/>
        <w:rPr>
          <w:rFonts w:ascii="Times New Roman" w:hAnsi="Times New Roman"/>
          <w:sz w:val="20"/>
        </w:rPr>
      </w:pPr>
      <w:r>
        <w:rPr>
          <w:rFonts w:ascii="Times New Roman" w:hAnsi="Times New Roman"/>
          <w:sz w:val="20"/>
        </w:rPr>
        <w:t xml:space="preserve">(1): Volume: 20489 Unit price: 0 EUR </w:t>
      </w:r>
    </w:p>
    <w:p>
      <w:pPr>
        <w:pStyle w:val="TextBody"/>
        <w:bidi w:val="0"/>
        <w:spacing w:before="240" w:after="0"/>
        <w:jc w:val="left"/>
        <w:rPr>
          <w:rFonts w:ascii="Times New Roman" w:hAnsi="Times New Roman"/>
          <w:sz w:val="20"/>
        </w:rPr>
      </w:pPr>
      <w:r>
        <w:rPr>
          <w:rFonts w:ascii="Times New Roman" w:hAnsi="Times New Roman"/>
          <w:sz w:val="20"/>
        </w:rPr>
        <w:t xml:space="preserve">Aggregated transactions (1): </w:t>
      </w:r>
    </w:p>
    <w:p>
      <w:pPr>
        <w:pStyle w:val="TextBody"/>
        <w:bidi w:val="0"/>
        <w:spacing w:before="240" w:after="0"/>
        <w:jc w:val="left"/>
        <w:rPr>
          <w:rFonts w:ascii="Times New Roman" w:hAnsi="Times New Roman"/>
          <w:sz w:val="20"/>
        </w:rPr>
      </w:pPr>
      <w:r>
        <w:rPr>
          <w:rFonts w:ascii="Times New Roman" w:hAnsi="Times New Roman"/>
          <w:sz w:val="20"/>
        </w:rPr>
        <w:t xml:space="preserve">Volume: 20489 Volume weighted average price: 0 EUR </w:t>
      </w:r>
    </w:p>
    <w:p>
      <w:pPr>
        <w:pStyle w:val="TextBody"/>
        <w:bidi w:val="0"/>
        <w:spacing w:before="360" w:after="0"/>
        <w:jc w:val="left"/>
        <w:rPr>
          <w:rFonts w:ascii="Times New Roman" w:hAnsi="Times New Roman"/>
          <w:b/>
          <w:sz w:val="20"/>
        </w:rPr>
      </w:pPr>
      <w:r>
        <w:rPr>
          <w:rFonts w:ascii="Times New Roman" w:hAnsi="Times New Roman"/>
          <w:b/>
          <w:sz w:val="20"/>
        </w:rPr>
        <w:t xml:space="preserve">For further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Blair Robertson, Vice President, Strategy &amp; Corporate Development </w:t>
      </w:r>
    </w:p>
    <w:p>
      <w:pPr>
        <w:pStyle w:val="TextBody"/>
        <w:bidi w:val="0"/>
        <w:spacing w:before="360" w:after="0"/>
        <w:jc w:val="left"/>
        <w:rPr>
          <w:rFonts w:ascii="Times New Roman" w:hAnsi="Times New Roman"/>
          <w:i/>
          <w:sz w:val="20"/>
        </w:rPr>
      </w:pPr>
      <w:r>
        <w:rPr>
          <w:rFonts w:ascii="Times New Roman" w:hAnsi="Times New Roman"/>
          <w:i/>
          <w:sz w:val="20"/>
        </w:rPr>
        <w:t xml:space="preserve">Investor Relations Officer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Investors@iqm.tech </w:t>
      </w:r>
    </w:p>
    <w:p>
      <w:pPr>
        <w:pStyle w:val="TextBody"/>
        <w:bidi w:val="0"/>
        <w:spacing w:before="360" w:after="0"/>
        <w:jc w:val="left"/>
        <w:rPr>
          <w:rFonts w:ascii="Times New Roman" w:hAnsi="Times New Roman"/>
          <w:b/>
          <w:sz w:val="20"/>
        </w:rPr>
      </w:pPr>
      <w:r>
        <w:rPr>
          <w:rFonts w:ascii="Times New Roman" w:hAnsi="Times New Roman"/>
          <w:b/>
          <w:sz w:val="20"/>
        </w:rPr>
        <w:t xml:space="preserve">About IQM Quantum Computers </w:t>
      </w:r>
    </w:p>
    <w:p>
      <w:pPr>
        <w:pStyle w:val="TextBody"/>
        <w:bidi w:val="0"/>
        <w:spacing w:before="120" w:after="0"/>
        <w:jc w:val="left"/>
        <w:rPr>
          <w:rFonts w:ascii="Times New Roman" w:hAnsi="Times New Roman"/>
          <w:sz w:val="20"/>
        </w:rPr>
      </w:pPr>
      <w:r>
        <w:rPr>
          <w:rFonts w:ascii="Times New Roman" w:hAnsi="Times New Roman"/>
          <w:sz w:val="20"/>
        </w:rPr>
        <w:t xml:space="preserve">IQM Quantum Computers (Nasdaq: IQMX) is a global leader in superconducting quantum computers, delivering full-stack quantum systems and cloud platform access to enterprises, research institutions, universities, high-performance computing centers, and national laboratories worldwide. IQM’s on-premises deployment model gives customers direct ownership and control of their quantum infrastructure. Founded in 2018 and headquartered in Finland, with major operations in Munich, IQM employs over 400 people and operates across Europe, Asia, and North America. IQM is the first publicly listed European quantum company on Nasdaq Stock Market.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852</Words>
  <Characters>5447</Characters>
  <CharactersWithSpaces>6332</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